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638"/>
      </w:tblGrid>
      <w:tr>
        <w:tc>
          <w:tcPr>
            <w:tcW w:type="dxa" w:w="9638"/>
            <w:shd w:fill="061C3F"/>
            <w:tcMar>
              <w:top w:w="600" w:type="dxa"/>
              <w:start w:w="500" w:type="dxa"/>
              <w:bottom w:w="600" w:type="dxa"/>
              <w:end w:w="500" w:type="dxa"/>
            </w:tcMar>
          </w:tcPr>
          <w:p>
            <w:pPr>
              <w:pStyle w:val="SmallCaps"/>
            </w:pPr>
            <w:r>
              <w:t>MAHORA TRANSIT GROUP  /  MAYOTTE 2055</w:t>
            </w:r>
          </w:p>
          <w:p>
            <w:pPr>
              <w:pStyle w:val="Title"/>
            </w:pPr>
            <w:r>
              <w:t>DOSSIER INVESTISSEURS</w:t>
            </w:r>
          </w:p>
          <w:p>
            <w:r>
              <w:rPr>
                <w:color w:val="C5D9E4"/>
                <w:sz w:val="30"/>
              </w:rPr>
              <w:t>Présentation préliminaire du portefeuille de mobilité et d’infrastructures</w:t>
            </w:r>
          </w:p>
          <w:p>
            <w:pPr>
              <w:spacing w:before="600"/>
            </w:pPr>
            <w:r>
              <w:rPr>
                <w:b/>
                <w:color w:val="08A8BF"/>
                <w:sz w:val="24"/>
              </w:rPr>
              <w:t>Programme global indicatif : 30,0 Md€ constants 2026</w:t>
            </w:r>
          </w:p>
          <w:p>
            <w:r>
              <w:rPr>
                <w:color w:val="FFFFFF"/>
                <w:sz w:val="18"/>
              </w:rPr>
              <w:t>Horizon 2027–2055  •  Financement mixte  •  Approche par phases et par actifs</w:t>
            </w:r>
          </w:p>
        </w:tc>
      </w:tr>
    </w:tbl>
    <w:p/>
    <w:tbl>
      <w:tblPr>
        <w:tblW w:type="auto" w:w="0"/>
        <w:tblLook w:firstColumn="1" w:firstRow="1" w:lastColumn="0" w:lastRow="0" w:noHBand="0" w:noVBand="1" w:val="04A0"/>
      </w:tblPr>
      <w:tblGrid>
        <w:gridCol w:w="9638"/>
      </w:tblGrid>
      <w:tr>
        <w:tc>
          <w:tcPr>
            <w:tcW w:type="dxa" w:w="9638"/>
            <w:shd w:fill="E8F4F5"/>
            <w:tcMar>
              <w:top w:w="200" w:type="dxa"/>
              <w:start w:w="220" w:type="dxa"/>
              <w:bottom w:w="200" w:type="dxa"/>
              <w:end w:w="220" w:type="dxa"/>
            </w:tcMar>
          </w:tcPr>
          <w:p>
            <w:r>
              <w:rPr>
                <w:b/>
              </w:rPr>
              <w:t xml:space="preserve">AVERTISSEMENT — </w:t>
            </w:r>
            <w:r>
              <w:t>Ce document est une présentation préliminaire. Il ne constitue ni une offre au public de titres financiers, ni un conseil en investissement, ni une sollicitation de souscription. Les hypothèses doivent être auditées et validées avant toute décision.</w:t>
            </w:r>
          </w:p>
        </w:tc>
      </w:tr>
    </w:tbl>
    <w:p>
      <w:r>
        <w:br w:type="page"/>
      </w:r>
    </w:p>
    <w:p>
      <w:pPr>
        <w:pStyle w:val="Heading1"/>
      </w:pPr>
      <w:r>
        <w:t>Résumé exécutif</w:t>
      </w:r>
    </w:p>
    <w:p>
      <w:r>
        <w:t>Mahora Transit Group (MTG) porte une vision de coordination territoriale à long terme destinée à améliorer les mobilités, l’intermodalité, la résilience et l’attractivité économique de Mayotte. Le programme Mayotte 2055 est conçu comme un portefeuille progressif d’opérations, non comme un chantier unique.</w:t>
      </w:r>
    </w:p>
    <w:p>
      <w:r>
        <w:t>Le budget de référence de 30,0 Md€ correspond à une enveloppe globale indicative sur la période 2027–2055. L’objectif immédiat n’est pas d’encaisser des investissements : il consiste à réunir un consortium, fiabiliser les études, prioriser des lots finançables et organiser une data room.</w:t>
      </w:r>
    </w:p>
    <w:tbl>
      <w:tblPr>
        <w:tblW w:type="auto" w:w="0"/>
        <w:jc w:val="center"/>
        <w:tblLayout w:type="autofit"/>
        <w:tblLook w:firstColumn="1" w:firstRow="1" w:lastColumn="0" w:lastRow="0" w:noHBand="0" w:noVBand="1" w:val="04A0"/>
      </w:tblPr>
      <w:tblGrid>
        <w:gridCol w:w="2409"/>
        <w:gridCol w:w="2409"/>
        <w:gridCol w:w="2409"/>
        <w:gridCol w:w="2409"/>
      </w:tblGrid>
      <w:tr>
        <w:tc>
          <w:tcPr>
            <w:tcW w:type="dxa" w:w="2409"/>
            <w:shd w:fill="061C3F"/>
            <w:tcMar>
              <w:top w:w="220" w:type="dxa"/>
              <w:start w:w="140" w:type="dxa"/>
              <w:bottom w:w="220" w:type="dxa"/>
              <w:end w:w="140" w:type="dxa"/>
            </w:tcMar>
            <w:vAlign w:val="center"/>
          </w:tcPr>
          <w:p>
            <w:pPr>
              <w:jc w:val="center"/>
            </w:pPr>
            <w:r>
              <w:rPr>
                <w:b/>
                <w:color w:val="FFFFFF"/>
                <w:sz w:val="40"/>
              </w:rPr>
              <w:t>30,0 Md€</w:t>
            </w:r>
          </w:p>
          <w:p>
            <w:pPr>
              <w:jc w:val="center"/>
            </w:pPr>
            <w:r>
              <w:rPr>
                <w:b/>
                <w:color w:val="FFFFFF"/>
                <w:sz w:val="16"/>
              </w:rPr>
              <w:t>Programme global</w:t>
            </w:r>
          </w:p>
          <w:p>
            <w:pPr>
              <w:jc w:val="center"/>
            </w:pPr>
            <w:r>
              <w:rPr>
                <w:color w:val="D7E5EA"/>
                <w:sz w:val="14"/>
              </w:rPr>
              <w:t>constants 2026</w:t>
            </w:r>
          </w:p>
        </w:tc>
        <w:tc>
          <w:tcPr>
            <w:tcW w:type="dxa" w:w="2409"/>
            <w:shd w:fill="08A8BF"/>
            <w:tcMar>
              <w:top w:w="220" w:type="dxa"/>
              <w:start w:w="140" w:type="dxa"/>
              <w:bottom w:w="220" w:type="dxa"/>
              <w:end w:w="140" w:type="dxa"/>
            </w:tcMar>
            <w:vAlign w:val="center"/>
          </w:tcPr>
          <w:p>
            <w:pPr>
              <w:jc w:val="center"/>
            </w:pPr>
            <w:r>
              <w:rPr>
                <w:b/>
                <w:color w:val="FFFFFF"/>
                <w:sz w:val="40"/>
              </w:rPr>
              <w:t>2027–2055</w:t>
            </w:r>
          </w:p>
          <w:p>
            <w:pPr>
              <w:jc w:val="center"/>
            </w:pPr>
            <w:r>
              <w:rPr>
                <w:b/>
                <w:color w:val="FFFFFF"/>
                <w:sz w:val="16"/>
              </w:rPr>
              <w:t>Horizon</w:t>
            </w:r>
          </w:p>
          <w:p>
            <w:pPr>
              <w:jc w:val="center"/>
            </w:pPr>
            <w:r>
              <w:rPr>
                <w:color w:val="D7E5EA"/>
                <w:sz w:val="14"/>
              </w:rPr>
              <w:t>six phases</w:t>
            </w:r>
          </w:p>
        </w:tc>
        <w:tc>
          <w:tcPr>
            <w:tcW w:type="dxa" w:w="2409"/>
            <w:shd w:fill="061C3F"/>
            <w:tcMar>
              <w:top w:w="220" w:type="dxa"/>
              <w:start w:w="140" w:type="dxa"/>
              <w:bottom w:w="220" w:type="dxa"/>
              <w:end w:w="140" w:type="dxa"/>
            </w:tcMar>
            <w:vAlign w:val="center"/>
          </w:tcPr>
          <w:p>
            <w:pPr>
              <w:jc w:val="center"/>
            </w:pPr>
            <w:r>
              <w:rPr>
                <w:b/>
                <w:color w:val="FFFFFF"/>
                <w:sz w:val="40"/>
              </w:rPr>
              <w:t>3,0 Md€</w:t>
            </w:r>
          </w:p>
          <w:p>
            <w:pPr>
              <w:jc w:val="center"/>
            </w:pPr>
            <w:r>
              <w:rPr>
                <w:b/>
                <w:color w:val="FFFFFF"/>
                <w:sz w:val="16"/>
              </w:rPr>
              <w:t>Fonds propres privés</w:t>
            </w:r>
          </w:p>
          <w:p>
            <w:pPr>
              <w:jc w:val="center"/>
            </w:pPr>
            <w:r>
              <w:rPr>
                <w:color w:val="D7E5EA"/>
                <w:sz w:val="14"/>
              </w:rPr>
              <w:t>hypothèse cumulée</w:t>
            </w:r>
          </w:p>
        </w:tc>
        <w:tc>
          <w:tcPr>
            <w:tcW w:type="dxa" w:w="2409"/>
            <w:shd w:fill="08A8BF"/>
            <w:tcMar>
              <w:top w:w="220" w:type="dxa"/>
              <w:start w:w="140" w:type="dxa"/>
              <w:bottom w:w="220" w:type="dxa"/>
              <w:end w:w="140" w:type="dxa"/>
            </w:tcMar>
            <w:vAlign w:val="center"/>
          </w:tcPr>
          <w:p>
            <w:pPr>
              <w:jc w:val="center"/>
            </w:pPr>
            <w:r>
              <w:rPr>
                <w:b/>
                <w:color w:val="FFFFFF"/>
                <w:sz w:val="40"/>
              </w:rPr>
              <w:t>1,22 %</w:t>
            </w:r>
          </w:p>
          <w:p>
            <w:pPr>
              <w:jc w:val="center"/>
            </w:pPr>
            <w:r>
              <w:rPr>
                <w:b/>
                <w:color w:val="FFFFFF"/>
                <w:sz w:val="16"/>
              </w:rPr>
              <w:t>TRI indicatif</w:t>
            </w:r>
          </w:p>
          <w:p>
            <w:pPr>
              <w:jc w:val="center"/>
            </w:pPr>
            <w:r>
              <w:rPr>
                <w:color w:val="D7E5EA"/>
                <w:sz w:val="14"/>
              </w:rPr>
              <w:t>scénario de référence</w:t>
            </w:r>
          </w:p>
        </w:tc>
      </w:tr>
    </w:tbl>
    <w:p>
      <w:pPr>
        <w:pStyle w:val="Heading1"/>
      </w:pPr>
      <w:r>
        <w:t>Thèse d’impact territorial</w:t>
      </w:r>
    </w:p>
    <w:p>
      <w:pPr>
        <w:pStyle w:val="ListBullet"/>
      </w:pPr>
      <w:r>
        <w:t>Réduire les temps et l’incertitude des déplacements quotidiens.</w:t>
      </w:r>
    </w:p>
    <w:p>
      <w:pPr>
        <w:pStyle w:val="ListBullet"/>
      </w:pPr>
      <w:r>
        <w:t>Relier les bassins de vie, l’aéroport, les ports et les pôles d’activité.</w:t>
      </w:r>
    </w:p>
    <w:p>
      <w:pPr>
        <w:pStyle w:val="ListBullet"/>
      </w:pPr>
      <w:r>
        <w:t>Combiner bus express, tramway, solutions ferroviaires, navettes maritimes et services voyageurs.</w:t>
      </w:r>
    </w:p>
    <w:p>
      <w:pPr>
        <w:pStyle w:val="ListBullet"/>
      </w:pPr>
      <w:r>
        <w:t>Créer une trajectoire industrielle, de formation et d’emplois locaux.</w:t>
      </w:r>
    </w:p>
    <w:p>
      <w:pPr>
        <w:pStyle w:val="ListBullet"/>
      </w:pPr>
      <w:r>
        <w:t>Renforcer la résilience énergétique, numérique et logistique du territoire.</w:t>
      </w:r>
    </w:p>
    <w:p>
      <w:pPr>
        <w:pStyle w:val="Heading1"/>
      </w:pPr>
      <w:r>
        <w:t>Le portefeuille MTG</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3213"/>
        <w:gridCol w:w="3213"/>
        <w:gridCol w:w="3213"/>
      </w:tblGrid>
      <w:tr>
        <w:tc>
          <w:tcPr>
            <w:tcW w:type="dxa" w:w="3213"/>
            <w:shd w:fill="061C3F"/>
            <w:tcMar>
              <w:top w:w="140" w:type="dxa"/>
              <w:start w:w="160" w:type="dxa"/>
              <w:bottom w:w="140" w:type="dxa"/>
              <w:end w:w="160" w:type="dxa"/>
            </w:tcMar>
          </w:tcPr>
          <w:p>
            <w:pPr>
              <w:jc w:val="center"/>
            </w:pPr>
            <w:r>
              <w:rPr>
                <w:b/>
                <w:color w:val="FFFFFF"/>
                <w:sz w:val="16"/>
              </w:rPr>
              <w:t>Composante</w:t>
            </w:r>
          </w:p>
        </w:tc>
        <w:tc>
          <w:tcPr>
            <w:tcW w:type="dxa" w:w="3213"/>
            <w:shd w:fill="061C3F"/>
            <w:tcMar>
              <w:top w:w="140" w:type="dxa"/>
              <w:start w:w="160" w:type="dxa"/>
              <w:bottom w:w="140" w:type="dxa"/>
              <w:end w:w="160" w:type="dxa"/>
            </w:tcMar>
          </w:tcPr>
          <w:p>
            <w:pPr>
              <w:jc w:val="center"/>
            </w:pPr>
            <w:r>
              <w:rPr>
                <w:b/>
                <w:color w:val="FFFFFF"/>
                <w:sz w:val="16"/>
              </w:rPr>
              <w:t>Rôle envisagé</w:t>
            </w:r>
          </w:p>
        </w:tc>
        <w:tc>
          <w:tcPr>
            <w:tcW w:type="dxa" w:w="3213"/>
            <w:shd w:fill="061C3F"/>
            <w:tcMar>
              <w:top w:w="140" w:type="dxa"/>
              <w:start w:w="160" w:type="dxa"/>
              <w:bottom w:w="140" w:type="dxa"/>
              <w:end w:w="160" w:type="dxa"/>
            </w:tcMar>
          </w:tcPr>
          <w:p>
            <w:pPr>
              <w:jc w:val="center"/>
            </w:pPr>
            <w:r>
              <w:rPr>
                <w:b/>
                <w:color w:val="FFFFFF"/>
                <w:sz w:val="16"/>
              </w:rPr>
              <w:t>Statut actuel</w:t>
            </w:r>
          </w:p>
        </w:tc>
      </w:tr>
      <w:tr>
        <w:tc>
          <w:tcPr>
            <w:tcW w:type="dxa" w:w="3213"/>
            <w:tcMar>
              <w:top w:w="140" w:type="dxa"/>
              <w:start w:w="160" w:type="dxa"/>
              <w:bottom w:w="140" w:type="dxa"/>
              <w:end w:w="160" w:type="dxa"/>
            </w:tcMar>
            <w:vAlign w:val="center"/>
          </w:tcPr>
          <w:p>
            <w:pPr>
              <w:jc w:val="center"/>
            </w:pPr>
            <w:r>
              <w:rPr>
                <w:sz w:val="17"/>
              </w:rPr>
              <w:t>KARIBUS+</w:t>
            </w:r>
          </w:p>
        </w:tc>
        <w:tc>
          <w:tcPr>
            <w:tcW w:type="dxa" w:w="3213"/>
            <w:tcMar>
              <w:top w:w="140" w:type="dxa"/>
              <w:start w:w="160" w:type="dxa"/>
              <w:bottom w:w="140" w:type="dxa"/>
              <w:end w:w="160" w:type="dxa"/>
            </w:tcMar>
            <w:vAlign w:val="center"/>
          </w:tcPr>
          <w:p>
            <w:pPr>
              <w:jc w:val="left"/>
            </w:pPr>
            <w:r>
              <w:rPr>
                <w:sz w:val="17"/>
              </w:rPr>
              <w:t>Corridors de bus express / BHNS et rabattement</w:t>
            </w:r>
          </w:p>
        </w:tc>
        <w:tc>
          <w:tcPr>
            <w:tcW w:type="dxa" w:w="3213"/>
            <w:tcMar>
              <w:top w:w="140" w:type="dxa"/>
              <w:start w:w="160" w:type="dxa"/>
              <w:bottom w:w="140" w:type="dxa"/>
              <w:end w:w="160" w:type="dxa"/>
            </w:tcMar>
            <w:vAlign w:val="center"/>
          </w:tcPr>
          <w:p>
            <w:pPr>
              <w:jc w:val="left"/>
            </w:pPr>
            <w:r>
              <w:rPr>
                <w:sz w:val="17"/>
              </w:rPr>
              <w:t>Concept à étudier</w:t>
            </w:r>
          </w:p>
        </w:tc>
      </w:tr>
      <w:tr>
        <w:tc>
          <w:tcPr>
            <w:tcW w:type="dxa" w:w="3213"/>
            <w:tcMar>
              <w:top w:w="140" w:type="dxa"/>
              <w:start w:w="160" w:type="dxa"/>
              <w:bottom w:w="140" w:type="dxa"/>
              <w:end w:w="160" w:type="dxa"/>
            </w:tcMar>
            <w:vAlign w:val="center"/>
          </w:tcPr>
          <w:p>
            <w:pPr>
              <w:jc w:val="center"/>
            </w:pPr>
            <w:r>
              <w:rPr>
                <w:sz w:val="17"/>
              </w:rPr>
              <w:t>LAGON TRAM</w:t>
            </w:r>
          </w:p>
        </w:tc>
        <w:tc>
          <w:tcPr>
            <w:tcW w:type="dxa" w:w="3213"/>
            <w:tcMar>
              <w:top w:w="140" w:type="dxa"/>
              <w:start w:w="160" w:type="dxa"/>
              <w:bottom w:w="140" w:type="dxa"/>
              <w:end w:w="160" w:type="dxa"/>
            </w:tcMar>
            <w:vAlign w:val="center"/>
          </w:tcPr>
          <w:p>
            <w:pPr>
              <w:jc w:val="left"/>
            </w:pPr>
            <w:r>
              <w:rPr>
                <w:sz w:val="17"/>
              </w:rPr>
              <w:t>Tramway urbain et pôles d’échanges</w:t>
            </w:r>
          </w:p>
        </w:tc>
        <w:tc>
          <w:tcPr>
            <w:tcW w:type="dxa" w:w="3213"/>
            <w:tcMar>
              <w:top w:w="140" w:type="dxa"/>
              <w:start w:w="160" w:type="dxa"/>
              <w:bottom w:w="140" w:type="dxa"/>
              <w:end w:w="160" w:type="dxa"/>
            </w:tcMar>
            <w:vAlign w:val="center"/>
          </w:tcPr>
          <w:p>
            <w:pPr>
              <w:jc w:val="left"/>
            </w:pPr>
            <w:r>
              <w:rPr>
                <w:sz w:val="17"/>
              </w:rPr>
              <w:t>Concept à étudier</w:t>
            </w:r>
          </w:p>
        </w:tc>
      </w:tr>
      <w:tr>
        <w:tc>
          <w:tcPr>
            <w:tcW w:type="dxa" w:w="3213"/>
            <w:tcMar>
              <w:top w:w="140" w:type="dxa"/>
              <w:start w:w="160" w:type="dxa"/>
              <w:bottom w:w="140" w:type="dxa"/>
              <w:end w:w="160" w:type="dxa"/>
            </w:tcMar>
            <w:vAlign w:val="center"/>
          </w:tcPr>
          <w:p>
            <w:pPr>
              <w:jc w:val="center"/>
            </w:pPr>
            <w:r>
              <w:rPr>
                <w:sz w:val="17"/>
              </w:rPr>
              <w:t>MAYO METRA</w:t>
            </w:r>
          </w:p>
        </w:tc>
        <w:tc>
          <w:tcPr>
            <w:tcW w:type="dxa" w:w="3213"/>
            <w:tcMar>
              <w:top w:w="140" w:type="dxa"/>
              <w:start w:w="160" w:type="dxa"/>
              <w:bottom w:w="140" w:type="dxa"/>
              <w:end w:w="160" w:type="dxa"/>
            </w:tcMar>
            <w:vAlign w:val="center"/>
          </w:tcPr>
          <w:p>
            <w:pPr>
              <w:jc w:val="left"/>
            </w:pPr>
            <w:r>
              <w:rPr>
                <w:sz w:val="17"/>
              </w:rPr>
              <w:t>Axe léger structurant à haute fréquence</w:t>
            </w:r>
          </w:p>
        </w:tc>
        <w:tc>
          <w:tcPr>
            <w:tcW w:type="dxa" w:w="3213"/>
            <w:tcMar>
              <w:top w:w="140" w:type="dxa"/>
              <w:start w:w="160" w:type="dxa"/>
              <w:bottom w:w="140" w:type="dxa"/>
              <w:end w:w="160" w:type="dxa"/>
            </w:tcMar>
            <w:vAlign w:val="center"/>
          </w:tcPr>
          <w:p>
            <w:pPr>
              <w:jc w:val="left"/>
            </w:pPr>
            <w:r>
              <w:rPr>
                <w:sz w:val="17"/>
              </w:rPr>
              <w:t>Concept à étudier</w:t>
            </w:r>
          </w:p>
        </w:tc>
      </w:tr>
      <w:tr>
        <w:tc>
          <w:tcPr>
            <w:tcW w:type="dxa" w:w="3213"/>
            <w:tcMar>
              <w:top w:w="140" w:type="dxa"/>
              <w:start w:w="160" w:type="dxa"/>
              <w:bottom w:w="140" w:type="dxa"/>
              <w:end w:w="160" w:type="dxa"/>
            </w:tcMar>
            <w:vAlign w:val="center"/>
          </w:tcPr>
          <w:p>
            <w:pPr>
              <w:jc w:val="center"/>
            </w:pPr>
            <w:r>
              <w:rPr>
                <w:sz w:val="17"/>
              </w:rPr>
              <w:t>ZENITH RAIL</w:t>
            </w:r>
          </w:p>
        </w:tc>
        <w:tc>
          <w:tcPr>
            <w:tcW w:type="dxa" w:w="3213"/>
            <w:tcMar>
              <w:top w:w="140" w:type="dxa"/>
              <w:start w:w="160" w:type="dxa"/>
              <w:bottom w:w="140" w:type="dxa"/>
              <w:end w:w="160" w:type="dxa"/>
            </w:tcMar>
            <w:vAlign w:val="center"/>
          </w:tcPr>
          <w:p>
            <w:pPr>
              <w:jc w:val="left"/>
            </w:pPr>
            <w:r>
              <w:rPr>
                <w:sz w:val="17"/>
              </w:rPr>
              <w:t>Liaisons interurbaines rapides</w:t>
            </w:r>
          </w:p>
        </w:tc>
        <w:tc>
          <w:tcPr>
            <w:tcW w:type="dxa" w:w="3213"/>
            <w:tcMar>
              <w:top w:w="140" w:type="dxa"/>
              <w:start w:w="160" w:type="dxa"/>
              <w:bottom w:w="140" w:type="dxa"/>
              <w:end w:w="160" w:type="dxa"/>
            </w:tcMar>
            <w:vAlign w:val="center"/>
          </w:tcPr>
          <w:p>
            <w:pPr>
              <w:jc w:val="left"/>
            </w:pPr>
            <w:r>
              <w:rPr>
                <w:sz w:val="17"/>
              </w:rPr>
              <w:t>Concept à étudier</w:t>
            </w:r>
          </w:p>
        </w:tc>
      </w:tr>
      <w:tr>
        <w:tc>
          <w:tcPr>
            <w:tcW w:type="dxa" w:w="3213"/>
            <w:tcMar>
              <w:top w:w="140" w:type="dxa"/>
              <w:start w:w="160" w:type="dxa"/>
              <w:bottom w:w="140" w:type="dxa"/>
              <w:end w:w="160" w:type="dxa"/>
            </w:tcMar>
            <w:vAlign w:val="center"/>
          </w:tcPr>
          <w:p>
            <w:pPr>
              <w:jc w:val="center"/>
            </w:pPr>
            <w:r>
              <w:rPr>
                <w:sz w:val="17"/>
              </w:rPr>
              <w:t>LAGON EXPRESS</w:t>
            </w:r>
          </w:p>
        </w:tc>
        <w:tc>
          <w:tcPr>
            <w:tcW w:type="dxa" w:w="3213"/>
            <w:tcMar>
              <w:top w:w="140" w:type="dxa"/>
              <w:start w:w="160" w:type="dxa"/>
              <w:bottom w:w="140" w:type="dxa"/>
              <w:end w:w="160" w:type="dxa"/>
            </w:tcMar>
            <w:vAlign w:val="center"/>
          </w:tcPr>
          <w:p>
            <w:pPr>
              <w:jc w:val="left"/>
            </w:pPr>
            <w:r>
              <w:rPr>
                <w:sz w:val="17"/>
              </w:rPr>
              <w:t>Navettes maritimes complémentaires</w:t>
            </w:r>
          </w:p>
        </w:tc>
        <w:tc>
          <w:tcPr>
            <w:tcW w:type="dxa" w:w="3213"/>
            <w:tcMar>
              <w:top w:w="140" w:type="dxa"/>
              <w:start w:w="160" w:type="dxa"/>
              <w:bottom w:w="140" w:type="dxa"/>
              <w:end w:w="160" w:type="dxa"/>
            </w:tcMar>
            <w:vAlign w:val="center"/>
          </w:tcPr>
          <w:p>
            <w:pPr>
              <w:jc w:val="left"/>
            </w:pPr>
            <w:r>
              <w:rPr>
                <w:sz w:val="17"/>
              </w:rPr>
              <w:t>Concept à étudier</w:t>
            </w:r>
          </w:p>
        </w:tc>
      </w:tr>
      <w:tr>
        <w:tc>
          <w:tcPr>
            <w:tcW w:type="dxa" w:w="3213"/>
            <w:tcMar>
              <w:top w:w="140" w:type="dxa"/>
              <w:start w:w="160" w:type="dxa"/>
              <w:bottom w:w="140" w:type="dxa"/>
              <w:end w:w="160" w:type="dxa"/>
            </w:tcMar>
            <w:vAlign w:val="center"/>
          </w:tcPr>
          <w:p>
            <w:pPr>
              <w:jc w:val="center"/>
            </w:pPr>
            <w:r>
              <w:rPr>
                <w:sz w:val="17"/>
              </w:rPr>
              <w:t>MAORÉ MOBILITÉ</w:t>
            </w:r>
          </w:p>
        </w:tc>
        <w:tc>
          <w:tcPr>
            <w:tcW w:type="dxa" w:w="3213"/>
            <w:tcMar>
              <w:top w:w="140" w:type="dxa"/>
              <w:start w:w="160" w:type="dxa"/>
              <w:bottom w:w="140" w:type="dxa"/>
              <w:end w:w="160" w:type="dxa"/>
            </w:tcMar>
            <w:vAlign w:val="center"/>
          </w:tcPr>
          <w:p>
            <w:pPr>
              <w:jc w:val="left"/>
            </w:pPr>
            <w:r>
              <w:rPr>
                <w:sz w:val="17"/>
              </w:rPr>
              <w:t>Billettique, information et services voyageurs</w:t>
            </w:r>
          </w:p>
        </w:tc>
        <w:tc>
          <w:tcPr>
            <w:tcW w:type="dxa" w:w="3213"/>
            <w:tcMar>
              <w:top w:w="140" w:type="dxa"/>
              <w:start w:w="160" w:type="dxa"/>
              <w:bottom w:w="140" w:type="dxa"/>
              <w:end w:w="160" w:type="dxa"/>
            </w:tcMar>
            <w:vAlign w:val="center"/>
          </w:tcPr>
          <w:p>
            <w:pPr>
              <w:jc w:val="left"/>
            </w:pPr>
            <w:r>
              <w:rPr>
                <w:sz w:val="17"/>
              </w:rPr>
              <w:t>Concept à étudier</w:t>
            </w:r>
          </w:p>
        </w:tc>
      </w:tr>
    </w:tbl>
    <w:p>
      <w:r>
        <w:t>Ces appellations sont des marques de projet. Elles ne désignent pas encore des entités juridiques, des réseaux autorisés ou des infrastructures décidées par une autorité publique.</w:t>
      </w:r>
    </w:p>
    <w:p>
      <w:r>
        <w:br w:type="page"/>
      </w:r>
    </w:p>
    <w:p>
      <w:pPr>
        <w:pStyle w:val="Heading1"/>
      </w:pPr>
      <w:r>
        <w:t>Architecture financière indicative</w:t>
      </w:r>
    </w:p>
    <w:tbl>
      <w:tblPr>
        <w:tblW w:type="auto" w:w="0"/>
        <w:jc w:val="center"/>
        <w:tblLayout w:type="autofit"/>
        <w:tblLook w:firstColumn="1" w:firstRow="1" w:lastColumn="0" w:lastRow="0" w:noHBand="0" w:noVBand="1" w:val="04A0"/>
      </w:tblPr>
      <w:tblGrid>
        <w:gridCol w:w="2409"/>
        <w:gridCol w:w="2409"/>
        <w:gridCol w:w="2409"/>
        <w:gridCol w:w="2409"/>
      </w:tblGrid>
      <w:tr>
        <w:tc>
          <w:tcPr>
            <w:tcW w:type="dxa" w:w="2409"/>
            <w:shd w:fill="061C3F"/>
            <w:tcMar>
              <w:top w:w="220" w:type="dxa"/>
              <w:start w:w="140" w:type="dxa"/>
              <w:bottom w:w="220" w:type="dxa"/>
              <w:end w:w="140" w:type="dxa"/>
            </w:tcMar>
            <w:vAlign w:val="center"/>
          </w:tcPr>
          <w:p>
            <w:pPr>
              <w:jc w:val="center"/>
            </w:pPr>
            <w:r>
              <w:rPr>
                <w:b/>
                <w:color w:val="FFFFFF"/>
                <w:sz w:val="40"/>
              </w:rPr>
              <w:t>15,5 Md€</w:t>
            </w:r>
          </w:p>
          <w:p>
            <w:pPr>
              <w:jc w:val="center"/>
            </w:pPr>
            <w:r>
              <w:rPr>
                <w:b/>
                <w:color w:val="FFFFFF"/>
                <w:sz w:val="16"/>
              </w:rPr>
              <w:t>Financements publics</w:t>
            </w:r>
          </w:p>
          <w:p>
            <w:pPr>
              <w:jc w:val="center"/>
            </w:pPr>
            <w:r>
              <w:rPr>
                <w:color w:val="D7E5EA"/>
                <w:sz w:val="14"/>
              </w:rPr>
              <w:t>51,7 %</w:t>
            </w:r>
          </w:p>
        </w:tc>
        <w:tc>
          <w:tcPr>
            <w:tcW w:type="dxa" w:w="2409"/>
            <w:shd w:fill="08A8BF"/>
            <w:tcMar>
              <w:top w:w="220" w:type="dxa"/>
              <w:start w:w="140" w:type="dxa"/>
              <w:bottom w:w="220" w:type="dxa"/>
              <w:end w:w="140" w:type="dxa"/>
            </w:tcMar>
            <w:vAlign w:val="center"/>
          </w:tcPr>
          <w:p>
            <w:pPr>
              <w:jc w:val="center"/>
            </w:pPr>
            <w:r>
              <w:rPr>
                <w:b/>
                <w:color w:val="FFFFFF"/>
                <w:sz w:val="40"/>
              </w:rPr>
              <w:t>9,9 Md€</w:t>
            </w:r>
          </w:p>
          <w:p>
            <w:pPr>
              <w:jc w:val="center"/>
            </w:pPr>
            <w:r>
              <w:rPr>
                <w:b/>
                <w:color w:val="FFFFFF"/>
                <w:sz w:val="16"/>
              </w:rPr>
              <w:t>Dette</w:t>
            </w:r>
          </w:p>
          <w:p>
            <w:pPr>
              <w:jc w:val="center"/>
            </w:pPr>
            <w:r>
              <w:rPr>
                <w:color w:val="D7E5EA"/>
                <w:sz w:val="14"/>
              </w:rPr>
              <w:t>33,0 %</w:t>
            </w:r>
          </w:p>
        </w:tc>
        <w:tc>
          <w:tcPr>
            <w:tcW w:type="dxa" w:w="2409"/>
            <w:shd w:fill="061C3F"/>
            <w:tcMar>
              <w:top w:w="220" w:type="dxa"/>
              <w:start w:w="140" w:type="dxa"/>
              <w:bottom w:w="220" w:type="dxa"/>
              <w:end w:w="140" w:type="dxa"/>
            </w:tcMar>
            <w:vAlign w:val="center"/>
          </w:tcPr>
          <w:p>
            <w:pPr>
              <w:jc w:val="center"/>
            </w:pPr>
            <w:r>
              <w:rPr>
                <w:b/>
                <w:color w:val="FFFFFF"/>
                <w:sz w:val="40"/>
              </w:rPr>
              <w:t>3,0 Md€</w:t>
            </w:r>
          </w:p>
          <w:p>
            <w:pPr>
              <w:jc w:val="center"/>
            </w:pPr>
            <w:r>
              <w:rPr>
                <w:b/>
                <w:color w:val="FFFFFF"/>
                <w:sz w:val="16"/>
              </w:rPr>
              <w:t>Fonds propres privés</w:t>
            </w:r>
          </w:p>
          <w:p>
            <w:pPr>
              <w:jc w:val="center"/>
            </w:pPr>
            <w:r>
              <w:rPr>
                <w:color w:val="D7E5EA"/>
                <w:sz w:val="14"/>
              </w:rPr>
              <w:t>10,0 %</w:t>
            </w:r>
          </w:p>
        </w:tc>
        <w:tc>
          <w:tcPr>
            <w:tcW w:type="dxa" w:w="2409"/>
            <w:shd w:fill="08A8BF"/>
            <w:tcMar>
              <w:top w:w="220" w:type="dxa"/>
              <w:start w:w="140" w:type="dxa"/>
              <w:bottom w:w="220" w:type="dxa"/>
              <w:end w:w="140" w:type="dxa"/>
            </w:tcMar>
            <w:vAlign w:val="center"/>
          </w:tcPr>
          <w:p>
            <w:pPr>
              <w:jc w:val="center"/>
            </w:pPr>
            <w:r>
              <w:rPr>
                <w:b/>
                <w:color w:val="FFFFFF"/>
                <w:sz w:val="40"/>
              </w:rPr>
              <w:t>1,6 Md€</w:t>
            </w:r>
          </w:p>
          <w:p>
            <w:pPr>
              <w:jc w:val="center"/>
            </w:pPr>
            <w:r>
              <w:rPr>
                <w:b/>
                <w:color w:val="FFFFFF"/>
                <w:sz w:val="16"/>
              </w:rPr>
              <w:t>Recettes / foncier</w:t>
            </w:r>
          </w:p>
          <w:p>
            <w:pPr>
              <w:jc w:val="center"/>
            </w:pPr>
            <w:r>
              <w:rPr>
                <w:color w:val="D7E5EA"/>
                <w:sz w:val="14"/>
              </w:rPr>
              <w:t>5,3 %</w:t>
            </w:r>
          </w:p>
        </w:tc>
      </w:tr>
    </w:tbl>
    <w:p>
      <w:r>
        <w:t>La ventilation ci-dessus est un scénario central de travail. Elle n’engage aucun financeur. Chaque opération devra disposer de son budget, de ses revenus ou paiements publics, de ses garanties, de son analyse de risques et de sa décision d’investissement propres.</w:t>
      </w:r>
    </w:p>
    <w:p>
      <w:pPr>
        <w:pStyle w:val="Heading2"/>
      </w:pPr>
      <w:r>
        <w:t>Réalisme financier</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3213"/>
        <w:gridCol w:w="3213"/>
        <w:gridCol w:w="3213"/>
      </w:tblGrid>
      <w:tr>
        <w:tc>
          <w:tcPr>
            <w:tcW w:type="dxa" w:w="3213"/>
            <w:shd w:fill="061C3F"/>
            <w:tcMar>
              <w:top w:w="140" w:type="dxa"/>
              <w:start w:w="160" w:type="dxa"/>
              <w:bottom w:w="140" w:type="dxa"/>
              <w:end w:w="160" w:type="dxa"/>
            </w:tcMar>
          </w:tcPr>
          <w:p>
            <w:pPr>
              <w:jc w:val="center"/>
            </w:pPr>
            <w:r>
              <w:rPr>
                <w:b/>
                <w:color w:val="FFFFFF"/>
                <w:sz w:val="16"/>
              </w:rPr>
              <w:t>Indicateur</w:t>
            </w:r>
          </w:p>
        </w:tc>
        <w:tc>
          <w:tcPr>
            <w:tcW w:type="dxa" w:w="3213"/>
            <w:shd w:fill="061C3F"/>
            <w:tcMar>
              <w:top w:w="140" w:type="dxa"/>
              <w:start w:w="160" w:type="dxa"/>
              <w:bottom w:w="140" w:type="dxa"/>
              <w:end w:w="160" w:type="dxa"/>
            </w:tcMar>
          </w:tcPr>
          <w:p>
            <w:pPr>
              <w:jc w:val="center"/>
            </w:pPr>
            <w:r>
              <w:rPr>
                <w:b/>
                <w:color w:val="FFFFFF"/>
                <w:sz w:val="16"/>
              </w:rPr>
              <w:t>Valeur de référence</w:t>
            </w:r>
          </w:p>
        </w:tc>
        <w:tc>
          <w:tcPr>
            <w:tcW w:type="dxa" w:w="3213"/>
            <w:shd w:fill="061C3F"/>
            <w:tcMar>
              <w:top w:w="140" w:type="dxa"/>
              <w:start w:w="160" w:type="dxa"/>
              <w:bottom w:w="140" w:type="dxa"/>
              <w:end w:w="160" w:type="dxa"/>
            </w:tcMar>
          </w:tcPr>
          <w:p>
            <w:pPr>
              <w:jc w:val="center"/>
            </w:pPr>
            <w:r>
              <w:rPr>
                <w:b/>
                <w:color w:val="FFFFFF"/>
                <w:sz w:val="16"/>
              </w:rPr>
              <w:t>Conséquence</w:t>
            </w:r>
          </w:p>
        </w:tc>
      </w:tr>
      <w:tr>
        <w:tc>
          <w:tcPr>
            <w:tcW w:type="dxa" w:w="3213"/>
            <w:tcMar>
              <w:top w:w="140" w:type="dxa"/>
              <w:start w:w="160" w:type="dxa"/>
              <w:bottom w:w="140" w:type="dxa"/>
              <w:end w:w="160" w:type="dxa"/>
            </w:tcMar>
            <w:vAlign w:val="center"/>
          </w:tcPr>
          <w:p>
            <w:pPr>
              <w:jc w:val="center"/>
            </w:pPr>
            <w:r>
              <w:rPr>
                <w:sz w:val="17"/>
              </w:rPr>
              <w:t>VAN financière</w:t>
            </w:r>
          </w:p>
        </w:tc>
        <w:tc>
          <w:tcPr>
            <w:tcW w:type="dxa" w:w="3213"/>
            <w:tcMar>
              <w:top w:w="140" w:type="dxa"/>
              <w:start w:w="160" w:type="dxa"/>
              <w:bottom w:w="140" w:type="dxa"/>
              <w:end w:w="160" w:type="dxa"/>
            </w:tcMar>
            <w:vAlign w:val="center"/>
          </w:tcPr>
          <w:p>
            <w:pPr>
              <w:jc w:val="left"/>
            </w:pPr>
            <w:r>
              <w:rPr>
                <w:sz w:val="17"/>
              </w:rPr>
              <w:t>–6,49 Md€</w:t>
            </w:r>
          </w:p>
        </w:tc>
        <w:tc>
          <w:tcPr>
            <w:tcW w:type="dxa" w:w="3213"/>
            <w:tcMar>
              <w:top w:w="140" w:type="dxa"/>
              <w:start w:w="160" w:type="dxa"/>
              <w:bottom w:w="140" w:type="dxa"/>
              <w:end w:w="160" w:type="dxa"/>
            </w:tcMar>
            <w:vAlign w:val="center"/>
          </w:tcPr>
          <w:p>
            <w:pPr>
              <w:jc w:val="left"/>
            </w:pPr>
            <w:r>
              <w:rPr>
                <w:sz w:val="17"/>
              </w:rPr>
              <w:t>Besoin d’un financement public et/ou de mécanismes de disponibilité.</w:t>
            </w:r>
          </w:p>
        </w:tc>
      </w:tr>
      <w:tr>
        <w:tc>
          <w:tcPr>
            <w:tcW w:type="dxa" w:w="3213"/>
            <w:tcMar>
              <w:top w:w="140" w:type="dxa"/>
              <w:start w:w="160" w:type="dxa"/>
              <w:bottom w:w="140" w:type="dxa"/>
              <w:end w:w="160" w:type="dxa"/>
            </w:tcMar>
            <w:vAlign w:val="center"/>
          </w:tcPr>
          <w:p>
            <w:pPr>
              <w:jc w:val="center"/>
            </w:pPr>
            <w:r>
              <w:rPr>
                <w:sz w:val="17"/>
              </w:rPr>
              <w:t>TRI financier</w:t>
            </w:r>
          </w:p>
        </w:tc>
        <w:tc>
          <w:tcPr>
            <w:tcW w:type="dxa" w:w="3213"/>
            <w:tcMar>
              <w:top w:w="140" w:type="dxa"/>
              <w:start w:w="160" w:type="dxa"/>
              <w:bottom w:w="140" w:type="dxa"/>
              <w:end w:w="160" w:type="dxa"/>
            </w:tcMar>
            <w:vAlign w:val="center"/>
          </w:tcPr>
          <w:p>
            <w:pPr>
              <w:jc w:val="left"/>
            </w:pPr>
            <w:r>
              <w:rPr>
                <w:sz w:val="17"/>
              </w:rPr>
              <w:t>1,22 %</w:t>
            </w:r>
          </w:p>
        </w:tc>
        <w:tc>
          <w:tcPr>
            <w:tcW w:type="dxa" w:w="3213"/>
            <w:tcMar>
              <w:top w:w="140" w:type="dxa"/>
              <w:start w:w="160" w:type="dxa"/>
              <w:bottom w:w="140" w:type="dxa"/>
              <w:end w:w="160" w:type="dxa"/>
            </w:tcMar>
            <w:vAlign w:val="center"/>
          </w:tcPr>
          <w:p>
            <w:pPr>
              <w:jc w:val="left"/>
            </w:pPr>
            <w:r>
              <w:rPr>
                <w:sz w:val="17"/>
              </w:rPr>
              <w:t>Programme global insuffisamment rémunérateur comme actif commercial unique.</w:t>
            </w:r>
          </w:p>
        </w:tc>
      </w:tr>
      <w:tr>
        <w:tc>
          <w:tcPr>
            <w:tcW w:type="dxa" w:w="3213"/>
            <w:tcMar>
              <w:top w:w="140" w:type="dxa"/>
              <w:start w:w="160" w:type="dxa"/>
              <w:bottom w:w="140" w:type="dxa"/>
              <w:end w:w="160" w:type="dxa"/>
            </w:tcMar>
            <w:vAlign w:val="center"/>
          </w:tcPr>
          <w:p>
            <w:pPr>
              <w:jc w:val="center"/>
            </w:pPr>
            <w:r>
              <w:rPr>
                <w:sz w:val="17"/>
              </w:rPr>
              <w:t>CAPEX total</w:t>
            </w:r>
          </w:p>
        </w:tc>
        <w:tc>
          <w:tcPr>
            <w:tcW w:type="dxa" w:w="3213"/>
            <w:tcMar>
              <w:top w:w="140" w:type="dxa"/>
              <w:start w:w="160" w:type="dxa"/>
              <w:bottom w:w="140" w:type="dxa"/>
              <w:end w:w="160" w:type="dxa"/>
            </w:tcMar>
            <w:vAlign w:val="center"/>
          </w:tcPr>
          <w:p>
            <w:pPr>
              <w:jc w:val="left"/>
            </w:pPr>
            <w:r>
              <w:rPr>
                <w:sz w:val="17"/>
              </w:rPr>
              <w:t>30,0 Md€</w:t>
            </w:r>
          </w:p>
        </w:tc>
        <w:tc>
          <w:tcPr>
            <w:tcW w:type="dxa" w:w="3213"/>
            <w:tcMar>
              <w:top w:w="140" w:type="dxa"/>
              <w:start w:w="160" w:type="dxa"/>
              <w:bottom w:w="140" w:type="dxa"/>
              <w:end w:w="160" w:type="dxa"/>
            </w:tcMar>
            <w:vAlign w:val="center"/>
          </w:tcPr>
          <w:p>
            <w:pPr>
              <w:jc w:val="left"/>
            </w:pPr>
            <w:r>
              <w:rPr>
                <w:sz w:val="17"/>
              </w:rPr>
              <w:t>Découpage impératif en lots et phases conditionnelles.</w:t>
            </w:r>
          </w:p>
        </w:tc>
      </w:tr>
      <w:tr>
        <w:tc>
          <w:tcPr>
            <w:tcW w:type="dxa" w:w="3213"/>
            <w:tcMar>
              <w:top w:w="140" w:type="dxa"/>
              <w:start w:w="160" w:type="dxa"/>
              <w:bottom w:w="140" w:type="dxa"/>
              <w:end w:w="160" w:type="dxa"/>
            </w:tcMar>
            <w:vAlign w:val="center"/>
          </w:tcPr>
          <w:p>
            <w:pPr>
              <w:jc w:val="center"/>
            </w:pPr>
            <w:r>
              <w:rPr>
                <w:sz w:val="17"/>
              </w:rPr>
              <w:t>Fonds propres privés</w:t>
            </w:r>
          </w:p>
        </w:tc>
        <w:tc>
          <w:tcPr>
            <w:tcW w:type="dxa" w:w="3213"/>
            <w:tcMar>
              <w:top w:w="140" w:type="dxa"/>
              <w:start w:w="160" w:type="dxa"/>
              <w:bottom w:w="140" w:type="dxa"/>
              <w:end w:w="160" w:type="dxa"/>
            </w:tcMar>
            <w:vAlign w:val="center"/>
          </w:tcPr>
          <w:p>
            <w:pPr>
              <w:jc w:val="left"/>
            </w:pPr>
            <w:r>
              <w:rPr>
                <w:sz w:val="17"/>
              </w:rPr>
              <w:t>3,0 Md€</w:t>
            </w:r>
          </w:p>
        </w:tc>
        <w:tc>
          <w:tcPr>
            <w:tcW w:type="dxa" w:w="3213"/>
            <w:tcMar>
              <w:top w:w="140" w:type="dxa"/>
              <w:start w:w="160" w:type="dxa"/>
              <w:bottom w:w="140" w:type="dxa"/>
              <w:end w:w="160" w:type="dxa"/>
            </w:tcMar>
            <w:vAlign w:val="center"/>
          </w:tcPr>
          <w:p>
            <w:pPr>
              <w:jc w:val="left"/>
            </w:pPr>
            <w:r>
              <w:rPr>
                <w:sz w:val="17"/>
              </w:rPr>
              <w:t>Mobilisation graduelle après études et allocation des risques.</w:t>
            </w:r>
          </w:p>
        </w:tc>
      </w:tr>
    </w:tbl>
    <w:p>
      <w:pPr>
        <w:pStyle w:val="Heading1"/>
      </w:pPr>
      <w:r>
        <w:t>Trajectoire de développement</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3213"/>
        <w:gridCol w:w="3213"/>
        <w:gridCol w:w="3213"/>
      </w:tblGrid>
      <w:tr>
        <w:tc>
          <w:tcPr>
            <w:tcW w:type="dxa" w:w="3213"/>
            <w:shd w:fill="061C3F"/>
            <w:tcMar>
              <w:top w:w="140" w:type="dxa"/>
              <w:start w:w="160" w:type="dxa"/>
              <w:bottom w:w="140" w:type="dxa"/>
              <w:end w:w="160" w:type="dxa"/>
            </w:tcMar>
          </w:tcPr>
          <w:p>
            <w:pPr>
              <w:jc w:val="center"/>
            </w:pPr>
            <w:r>
              <w:rPr>
                <w:b/>
                <w:color w:val="FFFFFF"/>
                <w:sz w:val="16"/>
              </w:rPr>
              <w:t>Période</w:t>
            </w:r>
          </w:p>
        </w:tc>
        <w:tc>
          <w:tcPr>
            <w:tcW w:type="dxa" w:w="3213"/>
            <w:shd w:fill="061C3F"/>
            <w:tcMar>
              <w:top w:w="140" w:type="dxa"/>
              <w:start w:w="160" w:type="dxa"/>
              <w:bottom w:w="140" w:type="dxa"/>
              <w:end w:w="160" w:type="dxa"/>
            </w:tcMar>
          </w:tcPr>
          <w:p>
            <w:pPr>
              <w:jc w:val="center"/>
            </w:pPr>
            <w:r>
              <w:rPr>
                <w:b/>
                <w:color w:val="FFFFFF"/>
                <w:sz w:val="16"/>
              </w:rPr>
              <w:t>Phase</w:t>
            </w:r>
          </w:p>
        </w:tc>
        <w:tc>
          <w:tcPr>
            <w:tcW w:type="dxa" w:w="3213"/>
            <w:shd w:fill="061C3F"/>
            <w:tcMar>
              <w:top w:w="140" w:type="dxa"/>
              <w:start w:w="160" w:type="dxa"/>
              <w:bottom w:w="140" w:type="dxa"/>
              <w:end w:w="160" w:type="dxa"/>
            </w:tcMar>
          </w:tcPr>
          <w:p>
            <w:pPr>
              <w:jc w:val="center"/>
            </w:pPr>
            <w:r>
              <w:rPr>
                <w:b/>
                <w:color w:val="FFFFFF"/>
                <w:sz w:val="16"/>
              </w:rPr>
              <w:t>Livrables de décision</w:t>
            </w:r>
          </w:p>
        </w:tc>
      </w:tr>
      <w:tr>
        <w:tc>
          <w:tcPr>
            <w:tcW w:type="dxa" w:w="3213"/>
            <w:tcMar>
              <w:top w:w="140" w:type="dxa"/>
              <w:start w:w="160" w:type="dxa"/>
              <w:bottom w:w="140" w:type="dxa"/>
              <w:end w:w="160" w:type="dxa"/>
            </w:tcMar>
            <w:vAlign w:val="center"/>
          </w:tcPr>
          <w:p>
            <w:pPr>
              <w:jc w:val="center"/>
            </w:pPr>
            <w:r>
              <w:rPr>
                <w:sz w:val="17"/>
              </w:rPr>
              <w:t>2027–2030</w:t>
            </w:r>
          </w:p>
        </w:tc>
        <w:tc>
          <w:tcPr>
            <w:tcW w:type="dxa" w:w="3213"/>
            <w:tcMar>
              <w:top w:w="140" w:type="dxa"/>
              <w:start w:w="160" w:type="dxa"/>
              <w:bottom w:w="140" w:type="dxa"/>
              <w:end w:w="160" w:type="dxa"/>
            </w:tcMar>
            <w:vAlign w:val="center"/>
          </w:tcPr>
          <w:p>
            <w:pPr>
              <w:jc w:val="left"/>
            </w:pPr>
            <w:r>
              <w:rPr>
                <w:sz w:val="17"/>
              </w:rPr>
              <w:t>Cadrage et maturation</w:t>
            </w:r>
          </w:p>
        </w:tc>
        <w:tc>
          <w:tcPr>
            <w:tcW w:type="dxa" w:w="3213"/>
            <w:tcMar>
              <w:top w:w="140" w:type="dxa"/>
              <w:start w:w="160" w:type="dxa"/>
              <w:bottom w:w="140" w:type="dxa"/>
              <w:end w:w="160" w:type="dxa"/>
            </w:tcMar>
            <w:vAlign w:val="center"/>
          </w:tcPr>
          <w:p>
            <w:pPr>
              <w:jc w:val="left"/>
            </w:pPr>
            <w:r>
              <w:rPr>
                <w:sz w:val="17"/>
              </w:rPr>
              <w:t>Gouvernance, études, concertation, priorisation, premiers partenariats.</w:t>
            </w:r>
          </w:p>
        </w:tc>
      </w:tr>
      <w:tr>
        <w:tc>
          <w:tcPr>
            <w:tcW w:type="dxa" w:w="3213"/>
            <w:tcMar>
              <w:top w:w="140" w:type="dxa"/>
              <w:start w:w="160" w:type="dxa"/>
              <w:bottom w:w="140" w:type="dxa"/>
              <w:end w:w="160" w:type="dxa"/>
            </w:tcMar>
            <w:vAlign w:val="center"/>
          </w:tcPr>
          <w:p>
            <w:pPr>
              <w:jc w:val="center"/>
            </w:pPr>
            <w:r>
              <w:rPr>
                <w:sz w:val="17"/>
              </w:rPr>
              <w:t>2031–2035</w:t>
            </w:r>
          </w:p>
        </w:tc>
        <w:tc>
          <w:tcPr>
            <w:tcW w:type="dxa" w:w="3213"/>
            <w:tcMar>
              <w:top w:w="140" w:type="dxa"/>
              <w:start w:w="160" w:type="dxa"/>
              <w:bottom w:w="140" w:type="dxa"/>
              <w:end w:w="160" w:type="dxa"/>
            </w:tcMar>
            <w:vAlign w:val="center"/>
          </w:tcPr>
          <w:p>
            <w:pPr>
              <w:jc w:val="left"/>
            </w:pPr>
            <w:r>
              <w:rPr>
                <w:sz w:val="17"/>
              </w:rPr>
              <w:t>Première vague</w:t>
            </w:r>
          </w:p>
        </w:tc>
        <w:tc>
          <w:tcPr>
            <w:tcW w:type="dxa" w:w="3213"/>
            <w:tcMar>
              <w:top w:w="140" w:type="dxa"/>
              <w:start w:w="160" w:type="dxa"/>
              <w:bottom w:w="140" w:type="dxa"/>
              <w:end w:w="160" w:type="dxa"/>
            </w:tcMar>
            <w:vAlign w:val="center"/>
          </w:tcPr>
          <w:p>
            <w:pPr>
              <w:jc w:val="left"/>
            </w:pPr>
            <w:r>
              <w:rPr>
                <w:sz w:val="17"/>
              </w:rPr>
              <w:t>Corridors prioritaires, pôles d’échanges, services rapides.</w:t>
            </w:r>
          </w:p>
        </w:tc>
      </w:tr>
      <w:tr>
        <w:tc>
          <w:tcPr>
            <w:tcW w:type="dxa" w:w="3213"/>
            <w:tcMar>
              <w:top w:w="140" w:type="dxa"/>
              <w:start w:w="160" w:type="dxa"/>
              <w:bottom w:w="140" w:type="dxa"/>
              <w:end w:w="160" w:type="dxa"/>
            </w:tcMar>
            <w:vAlign w:val="center"/>
          </w:tcPr>
          <w:p>
            <w:pPr>
              <w:jc w:val="center"/>
            </w:pPr>
            <w:r>
              <w:rPr>
                <w:sz w:val="17"/>
              </w:rPr>
              <w:t>2036–2040</w:t>
            </w:r>
          </w:p>
        </w:tc>
        <w:tc>
          <w:tcPr>
            <w:tcW w:type="dxa" w:w="3213"/>
            <w:tcMar>
              <w:top w:w="140" w:type="dxa"/>
              <w:start w:w="160" w:type="dxa"/>
              <w:bottom w:w="140" w:type="dxa"/>
              <w:end w:w="160" w:type="dxa"/>
            </w:tcMar>
            <w:vAlign w:val="center"/>
          </w:tcPr>
          <w:p>
            <w:pPr>
              <w:jc w:val="left"/>
            </w:pPr>
            <w:r>
              <w:rPr>
                <w:sz w:val="17"/>
              </w:rPr>
              <w:t>Déploiement structurant</w:t>
            </w:r>
          </w:p>
        </w:tc>
        <w:tc>
          <w:tcPr>
            <w:tcW w:type="dxa" w:w="3213"/>
            <w:tcMar>
              <w:top w:w="140" w:type="dxa"/>
              <w:start w:w="160" w:type="dxa"/>
              <w:bottom w:w="140" w:type="dxa"/>
              <w:end w:w="160" w:type="dxa"/>
            </w:tcMar>
            <w:vAlign w:val="center"/>
          </w:tcPr>
          <w:p>
            <w:pPr>
              <w:jc w:val="left"/>
            </w:pPr>
            <w:r>
              <w:rPr>
                <w:sz w:val="17"/>
              </w:rPr>
              <w:t>Lots majeurs, interconnexions et montée en charge.</w:t>
            </w:r>
          </w:p>
        </w:tc>
      </w:tr>
      <w:tr>
        <w:tc>
          <w:tcPr>
            <w:tcW w:type="dxa" w:w="3213"/>
            <w:tcMar>
              <w:top w:w="140" w:type="dxa"/>
              <w:start w:w="160" w:type="dxa"/>
              <w:bottom w:w="140" w:type="dxa"/>
              <w:end w:w="160" w:type="dxa"/>
            </w:tcMar>
            <w:vAlign w:val="center"/>
          </w:tcPr>
          <w:p>
            <w:pPr>
              <w:jc w:val="center"/>
            </w:pPr>
            <w:r>
              <w:rPr>
                <w:sz w:val="17"/>
              </w:rPr>
              <w:t>2041–2045</w:t>
            </w:r>
          </w:p>
        </w:tc>
        <w:tc>
          <w:tcPr>
            <w:tcW w:type="dxa" w:w="3213"/>
            <w:tcMar>
              <w:top w:w="140" w:type="dxa"/>
              <w:start w:w="160" w:type="dxa"/>
              <w:bottom w:w="140" w:type="dxa"/>
              <w:end w:w="160" w:type="dxa"/>
            </w:tcMar>
            <w:vAlign w:val="center"/>
          </w:tcPr>
          <w:p>
            <w:pPr>
              <w:jc w:val="left"/>
            </w:pPr>
            <w:r>
              <w:rPr>
                <w:sz w:val="17"/>
              </w:rPr>
              <w:t>Montée en capacité</w:t>
            </w:r>
          </w:p>
        </w:tc>
        <w:tc>
          <w:tcPr>
            <w:tcW w:type="dxa" w:w="3213"/>
            <w:tcMar>
              <w:top w:w="140" w:type="dxa"/>
              <w:start w:w="160" w:type="dxa"/>
              <w:bottom w:w="140" w:type="dxa"/>
              <w:end w:w="160" w:type="dxa"/>
            </w:tcMar>
            <w:vAlign w:val="center"/>
          </w:tcPr>
          <w:p>
            <w:pPr>
              <w:jc w:val="left"/>
            </w:pPr>
            <w:r>
              <w:rPr>
                <w:sz w:val="17"/>
              </w:rPr>
              <w:t>Extensions, performance et nouveaux services.</w:t>
            </w:r>
          </w:p>
        </w:tc>
      </w:tr>
      <w:tr>
        <w:tc>
          <w:tcPr>
            <w:tcW w:type="dxa" w:w="3213"/>
            <w:tcMar>
              <w:top w:w="140" w:type="dxa"/>
              <w:start w:w="160" w:type="dxa"/>
              <w:bottom w:w="140" w:type="dxa"/>
              <w:end w:w="160" w:type="dxa"/>
            </w:tcMar>
            <w:vAlign w:val="center"/>
          </w:tcPr>
          <w:p>
            <w:pPr>
              <w:jc w:val="center"/>
            </w:pPr>
            <w:r>
              <w:rPr>
                <w:sz w:val="17"/>
              </w:rPr>
              <w:t>2046–2050</w:t>
            </w:r>
          </w:p>
        </w:tc>
        <w:tc>
          <w:tcPr>
            <w:tcW w:type="dxa" w:w="3213"/>
            <w:tcMar>
              <w:top w:w="140" w:type="dxa"/>
              <w:start w:w="160" w:type="dxa"/>
              <w:bottom w:w="140" w:type="dxa"/>
              <w:end w:w="160" w:type="dxa"/>
            </w:tcMar>
            <w:vAlign w:val="center"/>
          </w:tcPr>
          <w:p>
            <w:pPr>
              <w:jc w:val="left"/>
            </w:pPr>
            <w:r>
              <w:rPr>
                <w:sz w:val="17"/>
              </w:rPr>
              <w:t>Densification</w:t>
            </w:r>
          </w:p>
        </w:tc>
        <w:tc>
          <w:tcPr>
            <w:tcW w:type="dxa" w:w="3213"/>
            <w:tcMar>
              <w:top w:w="140" w:type="dxa"/>
              <w:start w:w="160" w:type="dxa"/>
              <w:bottom w:w="140" w:type="dxa"/>
              <w:end w:w="160" w:type="dxa"/>
            </w:tcMar>
            <w:vAlign w:val="center"/>
          </w:tcPr>
          <w:p>
            <w:pPr>
              <w:jc w:val="left"/>
            </w:pPr>
            <w:r>
              <w:rPr>
                <w:sz w:val="17"/>
              </w:rPr>
              <w:t>Maillage, résilience et optimisation des actifs.</w:t>
            </w:r>
          </w:p>
        </w:tc>
      </w:tr>
      <w:tr>
        <w:tc>
          <w:tcPr>
            <w:tcW w:type="dxa" w:w="3213"/>
            <w:tcMar>
              <w:top w:w="140" w:type="dxa"/>
              <w:start w:w="160" w:type="dxa"/>
              <w:bottom w:w="140" w:type="dxa"/>
              <w:end w:w="160" w:type="dxa"/>
            </w:tcMar>
            <w:vAlign w:val="center"/>
          </w:tcPr>
          <w:p>
            <w:pPr>
              <w:jc w:val="center"/>
            </w:pPr>
            <w:r>
              <w:rPr>
                <w:sz w:val="17"/>
              </w:rPr>
              <w:t>2051–2055</w:t>
            </w:r>
          </w:p>
        </w:tc>
        <w:tc>
          <w:tcPr>
            <w:tcW w:type="dxa" w:w="3213"/>
            <w:tcMar>
              <w:top w:w="140" w:type="dxa"/>
              <w:start w:w="160" w:type="dxa"/>
              <w:bottom w:w="140" w:type="dxa"/>
              <w:end w:w="160" w:type="dxa"/>
            </w:tcMar>
            <w:vAlign w:val="center"/>
          </w:tcPr>
          <w:p>
            <w:pPr>
              <w:jc w:val="left"/>
            </w:pPr>
            <w:r>
              <w:rPr>
                <w:sz w:val="17"/>
              </w:rPr>
              <w:t>Optimisation</w:t>
            </w:r>
          </w:p>
        </w:tc>
        <w:tc>
          <w:tcPr>
            <w:tcW w:type="dxa" w:w="3213"/>
            <w:tcMar>
              <w:top w:w="140" w:type="dxa"/>
              <w:start w:w="160" w:type="dxa"/>
              <w:bottom w:w="140" w:type="dxa"/>
              <w:end w:w="160" w:type="dxa"/>
            </w:tcMar>
            <w:vAlign w:val="center"/>
          </w:tcPr>
          <w:p>
            <w:pPr>
              <w:jc w:val="left"/>
            </w:pPr>
            <w:r>
              <w:rPr>
                <w:sz w:val="17"/>
              </w:rPr>
              <w:t>Mesure des bénéfices, renouvellement et adaptation.</w:t>
            </w:r>
          </w:p>
        </w:tc>
      </w:tr>
    </w:tbl>
    <w:p>
      <w:pPr>
        <w:pStyle w:val="Heading2"/>
      </w:pPr>
      <w:r>
        <w:t>Portes de décision G0 à G6</w:t>
      </w:r>
    </w:p>
    <w:p>
      <w:pPr>
        <w:pStyle w:val="ListBullet"/>
      </w:pPr>
      <w:r>
        <w:t>G0 — responsable, périmètre et besoin clairement identifiés.</w:t>
      </w:r>
    </w:p>
    <w:p>
      <w:pPr>
        <w:pStyle w:val="ListBullet"/>
      </w:pPr>
      <w:r>
        <w:t>G1 — opportunité territoriale documentée.</w:t>
      </w:r>
    </w:p>
    <w:p>
      <w:pPr>
        <w:pStyle w:val="ListBullet"/>
      </w:pPr>
      <w:r>
        <w:t>G2 — options techniques comparées.</w:t>
      </w:r>
    </w:p>
    <w:p>
      <w:pPr>
        <w:pStyle w:val="ListBullet"/>
      </w:pPr>
      <w:r>
        <w:t>G3 — faisabilité, coûts, impacts et acceptabilité étudiés.</w:t>
      </w:r>
    </w:p>
    <w:p>
      <w:pPr>
        <w:pStyle w:val="ListBullet"/>
      </w:pPr>
      <w:r>
        <w:t>G4 — modèle contractuel, financements et autorisations sécurisés.</w:t>
      </w:r>
    </w:p>
    <w:p>
      <w:pPr>
        <w:pStyle w:val="ListBullet"/>
      </w:pPr>
      <w:r>
        <w:t>G5 — décision finale d’investissement et réalisation.</w:t>
      </w:r>
    </w:p>
    <w:p>
      <w:pPr>
        <w:pStyle w:val="ListBullet"/>
      </w:pPr>
      <w:r>
        <w:t>G6 — mise en service, suivi et mesure des bénéfices.</w:t>
      </w:r>
    </w:p>
    <w:p>
      <w:r>
        <w:br w:type="page"/>
      </w:r>
    </w:p>
    <w:p>
      <w:pPr>
        <w:pStyle w:val="Heading1"/>
      </w:pPr>
      <w:r>
        <w:t>Partenaires recherchés</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3213"/>
        <w:gridCol w:w="3213"/>
        <w:gridCol w:w="3213"/>
      </w:tblGrid>
      <w:tr>
        <w:tc>
          <w:tcPr>
            <w:tcW w:type="dxa" w:w="3213"/>
            <w:shd w:fill="061C3F"/>
            <w:tcMar>
              <w:top w:w="140" w:type="dxa"/>
              <w:start w:w="160" w:type="dxa"/>
              <w:bottom w:w="140" w:type="dxa"/>
              <w:end w:w="160" w:type="dxa"/>
            </w:tcMar>
          </w:tcPr>
          <w:p>
            <w:pPr>
              <w:jc w:val="center"/>
            </w:pPr>
            <w:r>
              <w:rPr>
                <w:b/>
                <w:color w:val="FFFFFF"/>
                <w:sz w:val="16"/>
              </w:rPr>
              <w:t>Profil</w:t>
            </w:r>
          </w:p>
        </w:tc>
        <w:tc>
          <w:tcPr>
            <w:tcW w:type="dxa" w:w="3213"/>
            <w:shd w:fill="061C3F"/>
            <w:tcMar>
              <w:top w:w="140" w:type="dxa"/>
              <w:start w:w="160" w:type="dxa"/>
              <w:bottom w:w="140" w:type="dxa"/>
              <w:end w:w="160" w:type="dxa"/>
            </w:tcMar>
          </w:tcPr>
          <w:p>
            <w:pPr>
              <w:jc w:val="center"/>
            </w:pPr>
            <w:r>
              <w:rPr>
                <w:b/>
                <w:color w:val="FFFFFF"/>
                <w:sz w:val="16"/>
              </w:rPr>
              <w:t>Contribution attendue</w:t>
            </w:r>
          </w:p>
        </w:tc>
        <w:tc>
          <w:tcPr>
            <w:tcW w:type="dxa" w:w="3213"/>
            <w:shd w:fill="061C3F"/>
            <w:tcMar>
              <w:top w:w="140" w:type="dxa"/>
              <w:start w:w="160" w:type="dxa"/>
              <w:bottom w:w="140" w:type="dxa"/>
              <w:end w:w="160" w:type="dxa"/>
            </w:tcMar>
          </w:tcPr>
          <w:p>
            <w:pPr>
              <w:jc w:val="center"/>
            </w:pPr>
            <w:r>
              <w:rPr>
                <w:b/>
                <w:color w:val="FFFFFF"/>
                <w:sz w:val="16"/>
              </w:rPr>
              <w:t>Étape d’entrée</w:t>
            </w:r>
          </w:p>
        </w:tc>
      </w:tr>
      <w:tr>
        <w:tc>
          <w:tcPr>
            <w:tcW w:type="dxa" w:w="3213"/>
            <w:tcMar>
              <w:top w:w="140" w:type="dxa"/>
              <w:start w:w="160" w:type="dxa"/>
              <w:bottom w:w="140" w:type="dxa"/>
              <w:end w:w="160" w:type="dxa"/>
            </w:tcMar>
            <w:vAlign w:val="center"/>
          </w:tcPr>
          <w:p>
            <w:pPr>
              <w:jc w:val="center"/>
            </w:pPr>
            <w:r>
              <w:rPr>
                <w:sz w:val="17"/>
              </w:rPr>
              <w:t>Fonds infrastructure / impact</w:t>
            </w:r>
          </w:p>
        </w:tc>
        <w:tc>
          <w:tcPr>
            <w:tcW w:type="dxa" w:w="3213"/>
            <w:tcMar>
              <w:top w:w="140" w:type="dxa"/>
              <w:start w:w="160" w:type="dxa"/>
              <w:bottom w:w="140" w:type="dxa"/>
              <w:end w:w="160" w:type="dxa"/>
            </w:tcMar>
            <w:vAlign w:val="center"/>
          </w:tcPr>
          <w:p>
            <w:pPr>
              <w:jc w:val="left"/>
            </w:pPr>
            <w:r>
              <w:rPr>
                <w:sz w:val="17"/>
              </w:rPr>
              <w:t>Expertise, capital patient, structuration ESG</w:t>
            </w:r>
          </w:p>
        </w:tc>
        <w:tc>
          <w:tcPr>
            <w:tcW w:type="dxa" w:w="3213"/>
            <w:tcMar>
              <w:top w:w="140" w:type="dxa"/>
              <w:start w:w="160" w:type="dxa"/>
              <w:bottom w:w="140" w:type="dxa"/>
              <w:end w:w="160" w:type="dxa"/>
            </w:tcMar>
            <w:vAlign w:val="center"/>
          </w:tcPr>
          <w:p>
            <w:pPr>
              <w:jc w:val="left"/>
            </w:pPr>
            <w:r>
              <w:rPr>
                <w:sz w:val="17"/>
              </w:rPr>
              <w:t>Qualification et revue du portefeuille</w:t>
            </w:r>
          </w:p>
        </w:tc>
      </w:tr>
      <w:tr>
        <w:tc>
          <w:tcPr>
            <w:tcW w:type="dxa" w:w="3213"/>
            <w:tcMar>
              <w:top w:w="140" w:type="dxa"/>
              <w:start w:w="160" w:type="dxa"/>
              <w:bottom w:w="140" w:type="dxa"/>
              <w:end w:w="160" w:type="dxa"/>
            </w:tcMar>
            <w:vAlign w:val="center"/>
          </w:tcPr>
          <w:p>
            <w:pPr>
              <w:jc w:val="center"/>
            </w:pPr>
            <w:r>
              <w:rPr>
                <w:sz w:val="17"/>
              </w:rPr>
              <w:t>Banques / arrangeurs</w:t>
            </w:r>
          </w:p>
        </w:tc>
        <w:tc>
          <w:tcPr>
            <w:tcW w:type="dxa" w:w="3213"/>
            <w:tcMar>
              <w:top w:w="140" w:type="dxa"/>
              <w:start w:w="160" w:type="dxa"/>
              <w:bottom w:w="140" w:type="dxa"/>
              <w:end w:w="160" w:type="dxa"/>
            </w:tcMar>
            <w:vAlign w:val="center"/>
          </w:tcPr>
          <w:p>
            <w:pPr>
              <w:jc w:val="left"/>
            </w:pPr>
            <w:r>
              <w:rPr>
                <w:sz w:val="17"/>
              </w:rPr>
              <w:t>Dette long terme, garanties, modélisation</w:t>
            </w:r>
          </w:p>
        </w:tc>
        <w:tc>
          <w:tcPr>
            <w:tcW w:type="dxa" w:w="3213"/>
            <w:tcMar>
              <w:top w:w="140" w:type="dxa"/>
              <w:start w:w="160" w:type="dxa"/>
              <w:bottom w:w="140" w:type="dxa"/>
              <w:end w:w="160" w:type="dxa"/>
            </w:tcMar>
            <w:vAlign w:val="center"/>
          </w:tcPr>
          <w:p>
            <w:pPr>
              <w:jc w:val="left"/>
            </w:pPr>
            <w:r>
              <w:rPr>
                <w:sz w:val="17"/>
              </w:rPr>
              <w:t>Après études de préfaisabilité</w:t>
            </w:r>
          </w:p>
        </w:tc>
      </w:tr>
      <w:tr>
        <w:tc>
          <w:tcPr>
            <w:tcW w:type="dxa" w:w="3213"/>
            <w:tcMar>
              <w:top w:w="140" w:type="dxa"/>
              <w:start w:w="160" w:type="dxa"/>
              <w:bottom w:w="140" w:type="dxa"/>
              <w:end w:w="160" w:type="dxa"/>
            </w:tcMar>
            <w:vAlign w:val="center"/>
          </w:tcPr>
          <w:p>
            <w:pPr>
              <w:jc w:val="center"/>
            </w:pPr>
            <w:r>
              <w:rPr>
                <w:sz w:val="17"/>
              </w:rPr>
              <w:t>Opérateurs de mobilité</w:t>
            </w:r>
          </w:p>
        </w:tc>
        <w:tc>
          <w:tcPr>
            <w:tcW w:type="dxa" w:w="3213"/>
            <w:tcMar>
              <w:top w:w="140" w:type="dxa"/>
              <w:start w:w="160" w:type="dxa"/>
              <w:bottom w:w="140" w:type="dxa"/>
              <w:end w:w="160" w:type="dxa"/>
            </w:tcMar>
            <w:vAlign w:val="center"/>
          </w:tcPr>
          <w:p>
            <w:pPr>
              <w:jc w:val="left"/>
            </w:pPr>
            <w:r>
              <w:rPr>
                <w:sz w:val="17"/>
              </w:rPr>
              <w:t>Exploitation, maintenance, conception fonctionnelle</w:t>
            </w:r>
          </w:p>
        </w:tc>
        <w:tc>
          <w:tcPr>
            <w:tcW w:type="dxa" w:w="3213"/>
            <w:tcMar>
              <w:top w:w="140" w:type="dxa"/>
              <w:start w:w="160" w:type="dxa"/>
              <w:bottom w:w="140" w:type="dxa"/>
              <w:end w:w="160" w:type="dxa"/>
            </w:tcMar>
            <w:vAlign w:val="center"/>
          </w:tcPr>
          <w:p>
            <w:pPr>
              <w:jc w:val="left"/>
            </w:pPr>
            <w:r>
              <w:rPr>
                <w:sz w:val="17"/>
              </w:rPr>
              <w:t>Dès la programmation</w:t>
            </w:r>
          </w:p>
        </w:tc>
      </w:tr>
      <w:tr>
        <w:tc>
          <w:tcPr>
            <w:tcW w:type="dxa" w:w="3213"/>
            <w:tcMar>
              <w:top w:w="140" w:type="dxa"/>
              <w:start w:w="160" w:type="dxa"/>
              <w:bottom w:w="140" w:type="dxa"/>
              <w:end w:w="160" w:type="dxa"/>
            </w:tcMar>
            <w:vAlign w:val="center"/>
          </w:tcPr>
          <w:p>
            <w:pPr>
              <w:jc w:val="center"/>
            </w:pPr>
            <w:r>
              <w:rPr>
                <w:sz w:val="17"/>
              </w:rPr>
              <w:t>Industriels / constructeurs</w:t>
            </w:r>
          </w:p>
        </w:tc>
        <w:tc>
          <w:tcPr>
            <w:tcW w:type="dxa" w:w="3213"/>
            <w:tcMar>
              <w:top w:w="140" w:type="dxa"/>
              <w:start w:w="160" w:type="dxa"/>
              <w:bottom w:w="140" w:type="dxa"/>
              <w:end w:w="160" w:type="dxa"/>
            </w:tcMar>
            <w:vAlign w:val="center"/>
          </w:tcPr>
          <w:p>
            <w:pPr>
              <w:jc w:val="left"/>
            </w:pPr>
            <w:r>
              <w:rPr>
                <w:sz w:val="17"/>
              </w:rPr>
              <w:t>Solutions techniques, chiffrage, phasage</w:t>
            </w:r>
          </w:p>
        </w:tc>
        <w:tc>
          <w:tcPr>
            <w:tcW w:type="dxa" w:w="3213"/>
            <w:tcMar>
              <w:top w:w="140" w:type="dxa"/>
              <w:start w:w="160" w:type="dxa"/>
              <w:bottom w:w="140" w:type="dxa"/>
              <w:end w:w="160" w:type="dxa"/>
            </w:tcMar>
            <w:vAlign w:val="center"/>
          </w:tcPr>
          <w:p>
            <w:pPr>
              <w:jc w:val="left"/>
            </w:pPr>
            <w:r>
              <w:rPr>
                <w:sz w:val="17"/>
              </w:rPr>
              <w:t>Consultations et études encadrées</w:t>
            </w:r>
          </w:p>
        </w:tc>
      </w:tr>
      <w:tr>
        <w:tc>
          <w:tcPr>
            <w:tcW w:type="dxa" w:w="3213"/>
            <w:tcMar>
              <w:top w:w="140" w:type="dxa"/>
              <w:start w:w="160" w:type="dxa"/>
              <w:bottom w:w="140" w:type="dxa"/>
              <w:end w:w="160" w:type="dxa"/>
            </w:tcMar>
            <w:vAlign w:val="center"/>
          </w:tcPr>
          <w:p>
            <w:pPr>
              <w:jc w:val="center"/>
            </w:pPr>
            <w:r>
              <w:rPr>
                <w:sz w:val="17"/>
              </w:rPr>
              <w:t>Institutions publiques</w:t>
            </w:r>
          </w:p>
        </w:tc>
        <w:tc>
          <w:tcPr>
            <w:tcW w:type="dxa" w:w="3213"/>
            <w:tcMar>
              <w:top w:w="140" w:type="dxa"/>
              <w:start w:w="160" w:type="dxa"/>
              <w:bottom w:w="140" w:type="dxa"/>
              <w:end w:w="160" w:type="dxa"/>
            </w:tcMar>
            <w:vAlign w:val="center"/>
          </w:tcPr>
          <w:p>
            <w:pPr>
              <w:jc w:val="left"/>
            </w:pPr>
            <w:r>
              <w:rPr>
                <w:sz w:val="17"/>
              </w:rPr>
              <w:t>Planification, compétences, autorisations, subventions</w:t>
            </w:r>
          </w:p>
        </w:tc>
        <w:tc>
          <w:tcPr>
            <w:tcW w:type="dxa" w:w="3213"/>
            <w:tcMar>
              <w:top w:w="140" w:type="dxa"/>
              <w:start w:w="160" w:type="dxa"/>
              <w:bottom w:w="140" w:type="dxa"/>
              <w:end w:w="160" w:type="dxa"/>
            </w:tcMar>
            <w:vAlign w:val="center"/>
          </w:tcPr>
          <w:p>
            <w:pPr>
              <w:jc w:val="left"/>
            </w:pPr>
            <w:r>
              <w:rPr>
                <w:sz w:val="17"/>
              </w:rPr>
              <w:t>Dialogue territorial formalisé</w:t>
            </w:r>
          </w:p>
        </w:tc>
      </w:tr>
      <w:tr>
        <w:tc>
          <w:tcPr>
            <w:tcW w:type="dxa" w:w="3213"/>
            <w:tcMar>
              <w:top w:w="140" w:type="dxa"/>
              <w:start w:w="160" w:type="dxa"/>
              <w:bottom w:w="140" w:type="dxa"/>
              <w:end w:w="160" w:type="dxa"/>
            </w:tcMar>
            <w:vAlign w:val="center"/>
          </w:tcPr>
          <w:p>
            <w:pPr>
              <w:jc w:val="center"/>
            </w:pPr>
            <w:r>
              <w:rPr>
                <w:sz w:val="17"/>
              </w:rPr>
              <w:t>Bureaux d’études</w:t>
            </w:r>
          </w:p>
        </w:tc>
        <w:tc>
          <w:tcPr>
            <w:tcW w:type="dxa" w:w="3213"/>
            <w:tcMar>
              <w:top w:w="140" w:type="dxa"/>
              <w:start w:w="160" w:type="dxa"/>
              <w:bottom w:w="140" w:type="dxa"/>
              <w:end w:w="160" w:type="dxa"/>
            </w:tcMar>
            <w:vAlign w:val="center"/>
          </w:tcPr>
          <w:p>
            <w:pPr>
              <w:jc w:val="left"/>
            </w:pPr>
            <w:r>
              <w:rPr>
                <w:sz w:val="17"/>
              </w:rPr>
              <w:t>Trafic, génie civil, environnement, socio-économie</w:t>
            </w:r>
          </w:p>
        </w:tc>
        <w:tc>
          <w:tcPr>
            <w:tcW w:type="dxa" w:w="3213"/>
            <w:tcMar>
              <w:top w:w="140" w:type="dxa"/>
              <w:start w:w="160" w:type="dxa"/>
              <w:bottom w:w="140" w:type="dxa"/>
              <w:end w:w="160" w:type="dxa"/>
            </w:tcMar>
            <w:vAlign w:val="center"/>
          </w:tcPr>
          <w:p>
            <w:pPr>
              <w:jc w:val="left"/>
            </w:pPr>
            <w:r>
              <w:rPr>
                <w:sz w:val="17"/>
              </w:rPr>
              <w:t>Maturation des premiers lots</w:t>
            </w:r>
          </w:p>
        </w:tc>
      </w:tr>
    </w:tbl>
    <w:p>
      <w:pPr>
        <w:pStyle w:val="Heading1"/>
      </w:pPr>
      <w:r>
        <w:t>Proposition de collaboration</w:t>
      </w:r>
    </w:p>
    <w:p>
      <w:pPr>
        <w:pStyle w:val="ListBullet"/>
      </w:pPr>
      <w:r>
        <w:t>Étape 1 : manifestation d’intérêt non engageante.</w:t>
      </w:r>
    </w:p>
    <w:p>
      <w:pPr>
        <w:pStyle w:val="ListBullet"/>
      </w:pPr>
      <w:r>
        <w:t>Étape 2 : entretien de qualification et vérification des compétences / capacités.</w:t>
      </w:r>
    </w:p>
    <w:p>
      <w:pPr>
        <w:pStyle w:val="ListBullet"/>
      </w:pPr>
      <w:r>
        <w:t>Étape 3 : accord de confidentialité si accès à des données sensibles.</w:t>
      </w:r>
    </w:p>
    <w:p>
      <w:pPr>
        <w:pStyle w:val="ListBullet"/>
      </w:pPr>
      <w:r>
        <w:t>Étape 4 : ouverture progressive de la data room et questions-réponses.</w:t>
      </w:r>
    </w:p>
    <w:p>
      <w:pPr>
        <w:pStyle w:val="ListBullet"/>
      </w:pPr>
      <w:r>
        <w:t>Étape 5 : lettre d’intention ou mandat d’étude, sans engagement de souscription.</w:t>
      </w:r>
    </w:p>
    <w:p>
      <w:pPr>
        <w:pStyle w:val="ListBullet"/>
      </w:pPr>
      <w:r>
        <w:t>Étape 6 : structuration d’un lot pilote puis processus d’investissement réglementé.</w:t>
      </w:r>
    </w:p>
    <w:p>
      <w:pPr>
        <w:pStyle w:val="Heading1"/>
      </w:pPr>
      <w:r>
        <w:t>Risques principaux</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3213"/>
        <w:gridCol w:w="3213"/>
        <w:gridCol w:w="3213"/>
      </w:tblGrid>
      <w:tr>
        <w:tc>
          <w:tcPr>
            <w:tcW w:type="dxa" w:w="3213"/>
            <w:shd w:fill="061C3F"/>
            <w:tcMar>
              <w:top w:w="140" w:type="dxa"/>
              <w:start w:w="160" w:type="dxa"/>
              <w:bottom w:w="140" w:type="dxa"/>
              <w:end w:w="160" w:type="dxa"/>
            </w:tcMar>
          </w:tcPr>
          <w:p>
            <w:pPr>
              <w:jc w:val="center"/>
            </w:pPr>
            <w:r>
              <w:rPr>
                <w:b/>
                <w:color w:val="FFFFFF"/>
                <w:sz w:val="16"/>
              </w:rPr>
              <w:t>Risque</w:t>
            </w:r>
          </w:p>
        </w:tc>
        <w:tc>
          <w:tcPr>
            <w:tcW w:type="dxa" w:w="3213"/>
            <w:shd w:fill="061C3F"/>
            <w:tcMar>
              <w:top w:w="140" w:type="dxa"/>
              <w:start w:w="160" w:type="dxa"/>
              <w:bottom w:w="140" w:type="dxa"/>
              <w:end w:w="160" w:type="dxa"/>
            </w:tcMar>
          </w:tcPr>
          <w:p>
            <w:pPr>
              <w:jc w:val="center"/>
            </w:pPr>
            <w:r>
              <w:rPr>
                <w:b/>
                <w:color w:val="FFFFFF"/>
                <w:sz w:val="16"/>
              </w:rPr>
              <w:t>Exposition</w:t>
            </w:r>
          </w:p>
        </w:tc>
        <w:tc>
          <w:tcPr>
            <w:tcW w:type="dxa" w:w="3213"/>
            <w:shd w:fill="061C3F"/>
            <w:tcMar>
              <w:top w:w="140" w:type="dxa"/>
              <w:start w:w="160" w:type="dxa"/>
              <w:bottom w:w="140" w:type="dxa"/>
              <w:end w:w="160" w:type="dxa"/>
            </w:tcMar>
          </w:tcPr>
          <w:p>
            <w:pPr>
              <w:jc w:val="center"/>
            </w:pPr>
            <w:r>
              <w:rPr>
                <w:b/>
                <w:color w:val="FFFFFF"/>
                <w:sz w:val="16"/>
              </w:rPr>
              <w:t>Mesure de maîtrise envisagée</w:t>
            </w:r>
          </w:p>
        </w:tc>
      </w:tr>
      <w:tr>
        <w:tc>
          <w:tcPr>
            <w:tcW w:type="dxa" w:w="3213"/>
            <w:tcMar>
              <w:top w:w="140" w:type="dxa"/>
              <w:start w:w="160" w:type="dxa"/>
              <w:bottom w:w="140" w:type="dxa"/>
              <w:end w:w="160" w:type="dxa"/>
            </w:tcMar>
            <w:vAlign w:val="center"/>
          </w:tcPr>
          <w:p>
            <w:pPr>
              <w:jc w:val="center"/>
            </w:pPr>
            <w:r>
              <w:rPr>
                <w:sz w:val="17"/>
              </w:rPr>
              <w:t>Institutionnel et juridique</w:t>
            </w:r>
          </w:p>
        </w:tc>
        <w:tc>
          <w:tcPr>
            <w:tcW w:type="dxa" w:w="3213"/>
            <w:tcMar>
              <w:top w:w="140" w:type="dxa"/>
              <w:start w:w="160" w:type="dxa"/>
              <w:bottom w:w="140" w:type="dxa"/>
              <w:end w:w="160" w:type="dxa"/>
            </w:tcMar>
            <w:vAlign w:val="center"/>
          </w:tcPr>
          <w:p>
            <w:pPr>
              <w:jc w:val="left"/>
            </w:pPr>
            <w:r>
              <w:rPr>
                <w:sz w:val="17"/>
              </w:rPr>
              <w:t>Élevée</w:t>
            </w:r>
          </w:p>
        </w:tc>
        <w:tc>
          <w:tcPr>
            <w:tcW w:type="dxa" w:w="3213"/>
            <w:tcMar>
              <w:top w:w="140" w:type="dxa"/>
              <w:start w:w="160" w:type="dxa"/>
              <w:bottom w:w="140" w:type="dxa"/>
              <w:end w:w="160" w:type="dxa"/>
            </w:tcMar>
            <w:vAlign w:val="center"/>
          </w:tcPr>
          <w:p>
            <w:pPr>
              <w:jc w:val="left"/>
            </w:pPr>
            <w:r>
              <w:rPr>
                <w:sz w:val="17"/>
              </w:rPr>
              <w:t>Clarifier compétences publiques, autorisations et contrats avant engagement.</w:t>
            </w:r>
          </w:p>
        </w:tc>
      </w:tr>
      <w:tr>
        <w:tc>
          <w:tcPr>
            <w:tcW w:type="dxa" w:w="3213"/>
            <w:tcMar>
              <w:top w:w="140" w:type="dxa"/>
              <w:start w:w="160" w:type="dxa"/>
              <w:bottom w:w="140" w:type="dxa"/>
              <w:end w:w="160" w:type="dxa"/>
            </w:tcMar>
            <w:vAlign w:val="center"/>
          </w:tcPr>
          <w:p>
            <w:pPr>
              <w:jc w:val="center"/>
            </w:pPr>
            <w:r>
              <w:rPr>
                <w:sz w:val="17"/>
              </w:rPr>
              <w:t>Coûts et construction</w:t>
            </w:r>
          </w:p>
        </w:tc>
        <w:tc>
          <w:tcPr>
            <w:tcW w:type="dxa" w:w="3213"/>
            <w:tcMar>
              <w:top w:w="140" w:type="dxa"/>
              <w:start w:w="160" w:type="dxa"/>
              <w:bottom w:w="140" w:type="dxa"/>
              <w:end w:w="160" w:type="dxa"/>
            </w:tcMar>
            <w:vAlign w:val="center"/>
          </w:tcPr>
          <w:p>
            <w:pPr>
              <w:jc w:val="left"/>
            </w:pPr>
            <w:r>
              <w:rPr>
                <w:sz w:val="17"/>
              </w:rPr>
              <w:t>Élevée</w:t>
            </w:r>
          </w:p>
        </w:tc>
        <w:tc>
          <w:tcPr>
            <w:tcW w:type="dxa" w:w="3213"/>
            <w:tcMar>
              <w:top w:w="140" w:type="dxa"/>
              <w:start w:w="160" w:type="dxa"/>
              <w:bottom w:w="140" w:type="dxa"/>
              <w:end w:w="160" w:type="dxa"/>
            </w:tcMar>
            <w:vAlign w:val="center"/>
          </w:tcPr>
          <w:p>
            <w:pPr>
              <w:jc w:val="left"/>
            </w:pPr>
            <w:r>
              <w:rPr>
                <w:sz w:val="17"/>
              </w:rPr>
              <w:t>Études indépendantes, contingences, allotissement et revues de valeur.</w:t>
            </w:r>
          </w:p>
        </w:tc>
      </w:tr>
      <w:tr>
        <w:tc>
          <w:tcPr>
            <w:tcW w:type="dxa" w:w="3213"/>
            <w:tcMar>
              <w:top w:w="140" w:type="dxa"/>
              <w:start w:w="160" w:type="dxa"/>
              <w:bottom w:w="140" w:type="dxa"/>
              <w:end w:w="160" w:type="dxa"/>
            </w:tcMar>
            <w:vAlign w:val="center"/>
          </w:tcPr>
          <w:p>
            <w:pPr>
              <w:jc w:val="center"/>
            </w:pPr>
            <w:r>
              <w:rPr>
                <w:sz w:val="17"/>
              </w:rPr>
              <w:t>Trafic / revenus</w:t>
            </w:r>
          </w:p>
        </w:tc>
        <w:tc>
          <w:tcPr>
            <w:tcW w:type="dxa" w:w="3213"/>
            <w:tcMar>
              <w:top w:w="140" w:type="dxa"/>
              <w:start w:w="160" w:type="dxa"/>
              <w:bottom w:w="140" w:type="dxa"/>
              <w:end w:w="160" w:type="dxa"/>
            </w:tcMar>
            <w:vAlign w:val="center"/>
          </w:tcPr>
          <w:p>
            <w:pPr>
              <w:jc w:val="left"/>
            </w:pPr>
            <w:r>
              <w:rPr>
                <w:sz w:val="17"/>
              </w:rPr>
              <w:t>Élevée</w:t>
            </w:r>
          </w:p>
        </w:tc>
        <w:tc>
          <w:tcPr>
            <w:tcW w:type="dxa" w:w="3213"/>
            <w:tcMar>
              <w:top w:w="140" w:type="dxa"/>
              <w:start w:w="160" w:type="dxa"/>
              <w:bottom w:w="140" w:type="dxa"/>
              <w:end w:w="160" w:type="dxa"/>
            </w:tcMar>
            <w:vAlign w:val="center"/>
          </w:tcPr>
          <w:p>
            <w:pPr>
              <w:jc w:val="left"/>
            </w:pPr>
            <w:r>
              <w:rPr>
                <w:sz w:val="17"/>
              </w:rPr>
              <w:t>Scénarios prudents, paiements de disponibilité ou soutien public à étudier.</w:t>
            </w:r>
          </w:p>
        </w:tc>
      </w:tr>
      <w:tr>
        <w:tc>
          <w:tcPr>
            <w:tcW w:type="dxa" w:w="3213"/>
            <w:tcMar>
              <w:top w:w="140" w:type="dxa"/>
              <w:start w:w="160" w:type="dxa"/>
              <w:bottom w:w="140" w:type="dxa"/>
              <w:end w:w="160" w:type="dxa"/>
            </w:tcMar>
            <w:vAlign w:val="center"/>
          </w:tcPr>
          <w:p>
            <w:pPr>
              <w:jc w:val="center"/>
            </w:pPr>
            <w:r>
              <w:rPr>
                <w:sz w:val="17"/>
              </w:rPr>
              <w:t>Environnement et foncier</w:t>
            </w:r>
          </w:p>
        </w:tc>
        <w:tc>
          <w:tcPr>
            <w:tcW w:type="dxa" w:w="3213"/>
            <w:tcMar>
              <w:top w:w="140" w:type="dxa"/>
              <w:start w:w="160" w:type="dxa"/>
              <w:bottom w:w="140" w:type="dxa"/>
              <w:end w:w="160" w:type="dxa"/>
            </w:tcMar>
            <w:vAlign w:val="center"/>
          </w:tcPr>
          <w:p>
            <w:pPr>
              <w:jc w:val="left"/>
            </w:pPr>
            <w:r>
              <w:rPr>
                <w:sz w:val="17"/>
              </w:rPr>
              <w:t>Élevée</w:t>
            </w:r>
          </w:p>
        </w:tc>
        <w:tc>
          <w:tcPr>
            <w:tcW w:type="dxa" w:w="3213"/>
            <w:tcMar>
              <w:top w:w="140" w:type="dxa"/>
              <w:start w:w="160" w:type="dxa"/>
              <w:bottom w:w="140" w:type="dxa"/>
              <w:end w:w="160" w:type="dxa"/>
            </w:tcMar>
            <w:vAlign w:val="center"/>
          </w:tcPr>
          <w:p>
            <w:pPr>
              <w:jc w:val="left"/>
            </w:pPr>
            <w:r>
              <w:rPr>
                <w:sz w:val="17"/>
              </w:rPr>
              <w:t>Éviter-réduire-compenser, concertation et sécurisation foncière progressive.</w:t>
            </w:r>
          </w:p>
        </w:tc>
      </w:tr>
      <w:tr>
        <w:tc>
          <w:tcPr>
            <w:tcW w:type="dxa" w:w="3213"/>
            <w:tcMar>
              <w:top w:w="140" w:type="dxa"/>
              <w:start w:w="160" w:type="dxa"/>
              <w:bottom w:w="140" w:type="dxa"/>
              <w:end w:w="160" w:type="dxa"/>
            </w:tcMar>
            <w:vAlign w:val="center"/>
          </w:tcPr>
          <w:p>
            <w:pPr>
              <w:jc w:val="center"/>
            </w:pPr>
            <w:r>
              <w:rPr>
                <w:sz w:val="17"/>
              </w:rPr>
              <w:t>Gouvernance</w:t>
            </w:r>
          </w:p>
        </w:tc>
        <w:tc>
          <w:tcPr>
            <w:tcW w:type="dxa" w:w="3213"/>
            <w:tcMar>
              <w:top w:w="140" w:type="dxa"/>
              <w:start w:w="160" w:type="dxa"/>
              <w:bottom w:w="140" w:type="dxa"/>
              <w:end w:w="160" w:type="dxa"/>
            </w:tcMar>
            <w:vAlign w:val="center"/>
          </w:tcPr>
          <w:p>
            <w:pPr>
              <w:jc w:val="left"/>
            </w:pPr>
            <w:r>
              <w:rPr>
                <w:sz w:val="17"/>
              </w:rPr>
              <w:t>Élevée</w:t>
            </w:r>
          </w:p>
        </w:tc>
        <w:tc>
          <w:tcPr>
            <w:tcW w:type="dxa" w:w="3213"/>
            <w:tcMar>
              <w:top w:w="140" w:type="dxa"/>
              <w:start w:w="160" w:type="dxa"/>
              <w:bottom w:w="140" w:type="dxa"/>
              <w:end w:w="160" w:type="dxa"/>
            </w:tcMar>
            <w:vAlign w:val="center"/>
          </w:tcPr>
          <w:p>
            <w:pPr>
              <w:jc w:val="left"/>
            </w:pPr>
            <w:r>
              <w:rPr>
                <w:sz w:val="17"/>
              </w:rPr>
              <w:t>SAS immatriculée, pacte d’associés, comités et procédures de conflits.</w:t>
            </w:r>
          </w:p>
        </w:tc>
      </w:tr>
      <w:tr>
        <w:tc>
          <w:tcPr>
            <w:tcW w:type="dxa" w:w="3213"/>
            <w:tcMar>
              <w:top w:w="140" w:type="dxa"/>
              <w:start w:w="160" w:type="dxa"/>
              <w:bottom w:w="140" w:type="dxa"/>
              <w:end w:w="160" w:type="dxa"/>
            </w:tcMar>
            <w:vAlign w:val="center"/>
          </w:tcPr>
          <w:p>
            <w:pPr>
              <w:jc w:val="center"/>
            </w:pPr>
            <w:r>
              <w:rPr>
                <w:sz w:val="17"/>
              </w:rPr>
              <w:t>Réputation / information</w:t>
            </w:r>
          </w:p>
        </w:tc>
        <w:tc>
          <w:tcPr>
            <w:tcW w:type="dxa" w:w="3213"/>
            <w:tcMar>
              <w:top w:w="140" w:type="dxa"/>
              <w:start w:w="160" w:type="dxa"/>
              <w:bottom w:w="140" w:type="dxa"/>
              <w:end w:w="160" w:type="dxa"/>
            </w:tcMar>
            <w:vAlign w:val="center"/>
          </w:tcPr>
          <w:p>
            <w:pPr>
              <w:jc w:val="left"/>
            </w:pPr>
            <w:r>
              <w:rPr>
                <w:sz w:val="17"/>
              </w:rPr>
              <w:t>Élevée</w:t>
            </w:r>
          </w:p>
        </w:tc>
        <w:tc>
          <w:tcPr>
            <w:tcW w:type="dxa" w:w="3213"/>
            <w:tcMar>
              <w:top w:w="140" w:type="dxa"/>
              <w:start w:w="160" w:type="dxa"/>
              <w:bottom w:w="140" w:type="dxa"/>
              <w:end w:w="160" w:type="dxa"/>
            </w:tcMar>
            <w:vAlign w:val="center"/>
          </w:tcPr>
          <w:p>
            <w:pPr>
              <w:jc w:val="left"/>
            </w:pPr>
            <w:r>
              <w:rPr>
                <w:sz w:val="17"/>
              </w:rPr>
              <w:t>Communication factuelle, traçabilité des hypothèses et validation externe.</w:t>
            </w:r>
          </w:p>
        </w:tc>
      </w:tr>
    </w:tbl>
    <w:p>
      <w:pPr>
        <w:pStyle w:val="Heading1"/>
      </w:pPr>
      <w:r>
        <w:t>Data room cible</w:t>
      </w:r>
    </w:p>
    <w:p>
      <w:pPr>
        <w:pStyle w:val="ListBullet"/>
      </w:pPr>
      <w:r>
        <w:t>Identité juridique, statuts, pacte et registre des décisions.</w:t>
      </w:r>
    </w:p>
    <w:p>
      <w:pPr>
        <w:pStyle w:val="ListBullet"/>
      </w:pPr>
      <w:r>
        <w:t>Note d’opportunité et schéma directeur territorial.</w:t>
      </w:r>
    </w:p>
    <w:p>
      <w:pPr>
        <w:pStyle w:val="ListBullet"/>
      </w:pPr>
      <w:r>
        <w:t>Études de trafic, variantes techniques et cartes sourcées.</w:t>
      </w:r>
    </w:p>
    <w:p>
      <w:pPr>
        <w:pStyle w:val="ListBullet"/>
      </w:pPr>
      <w:r>
        <w:t>CAPEX/OPEX, modèle financier auditable et analyses de sensibilité.</w:t>
      </w:r>
    </w:p>
    <w:p>
      <w:pPr>
        <w:pStyle w:val="ListBullet"/>
      </w:pPr>
      <w:r>
        <w:t>Plan foncier, environnemental, réglementaire et de concertation.</w:t>
      </w:r>
    </w:p>
    <w:p>
      <w:pPr>
        <w:pStyle w:val="ListBullet"/>
      </w:pPr>
      <w:r>
        <w:t>Stratégie de commande publique, concessions et partenariats.</w:t>
      </w:r>
    </w:p>
    <w:p>
      <w:pPr>
        <w:pStyle w:val="ListBullet"/>
      </w:pPr>
      <w:r>
        <w:t>Registre des risques, gouvernance ESG et dispositif anticorruption.</w:t>
      </w:r>
    </w:p>
    <w:p>
      <w:r>
        <w:br w:type="page"/>
      </w:r>
    </w:p>
    <w:p>
      <w:pPr>
        <w:pStyle w:val="Heading1"/>
      </w:pPr>
      <w:r>
        <w:t>Gouvernance actuelle du projet</w:t>
      </w:r>
    </w:p>
    <w:p>
      <w:r>
        <w:t>À la date du présent document, MTG est une société projetée non immatriculée. Le projet est porté conjointement par Fassuhoudine VELOU, Abihourairi VELOU et Maturafi VELOU. La forme envisagée est une SAS familiale avec une répartition égalitaire projetée : un tiers des parts pour chacun des trois coporteurs. Cette répartition devra être formalisée dans les statuts et le pacte d’associés lors de l’immatriculation. La future structure devra être immatriculée avant de contracter ou de solliciter des souscriptions au nom de MTG.</w:t>
      </w:r>
    </w:p>
    <w:p>
      <w:pPr>
        <w:pStyle w:val="Heading2"/>
      </w:pPr>
      <w:r>
        <w:t>Coordonnées</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3213"/>
        <w:gridCol w:w="3213"/>
        <w:gridCol w:w="3213"/>
      </w:tblGrid>
      <w:tr>
        <w:tc>
          <w:tcPr>
            <w:tcW w:type="dxa" w:w="3213"/>
            <w:shd w:fill="061C3F"/>
            <w:tcMar>
              <w:top w:w="140" w:type="dxa"/>
              <w:start w:w="160" w:type="dxa"/>
              <w:bottom w:w="140" w:type="dxa"/>
              <w:end w:w="160" w:type="dxa"/>
            </w:tcMar>
          </w:tcPr>
          <w:p>
            <w:pPr>
              <w:jc w:val="center"/>
            </w:pPr>
            <w:r>
              <w:rPr>
                <w:b/>
                <w:color w:val="FFFFFF"/>
                <w:sz w:val="16"/>
              </w:rPr>
              <w:t>Coporteurs</w:t>
            </w:r>
          </w:p>
        </w:tc>
        <w:tc>
          <w:tcPr>
            <w:tcW w:type="dxa" w:w="3213"/>
            <w:shd w:fill="061C3F"/>
            <w:tcMar>
              <w:top w:w="140" w:type="dxa"/>
              <w:start w:w="160" w:type="dxa"/>
              <w:bottom w:w="140" w:type="dxa"/>
              <w:end w:w="160" w:type="dxa"/>
            </w:tcMar>
          </w:tcPr>
          <w:p>
            <w:pPr>
              <w:jc w:val="center"/>
            </w:pPr>
            <w:r>
              <w:rPr>
                <w:b/>
                <w:color w:val="FFFFFF"/>
                <w:sz w:val="16"/>
              </w:rPr>
              <w:t>Adresse du projet</w:t>
            </w:r>
          </w:p>
        </w:tc>
        <w:tc>
          <w:tcPr>
            <w:tcW w:type="dxa" w:w="3213"/>
            <w:shd w:fill="061C3F"/>
            <w:tcMar>
              <w:top w:w="140" w:type="dxa"/>
              <w:start w:w="160" w:type="dxa"/>
              <w:bottom w:w="140" w:type="dxa"/>
              <w:end w:w="160" w:type="dxa"/>
            </w:tcMar>
          </w:tcPr>
          <w:p>
            <w:pPr>
              <w:jc w:val="center"/>
            </w:pPr>
            <w:r>
              <w:rPr>
                <w:b/>
                <w:color w:val="FFFFFF"/>
                <w:sz w:val="16"/>
              </w:rPr>
              <w:t>Contact</w:t>
            </w:r>
          </w:p>
        </w:tc>
      </w:tr>
      <w:tr>
        <w:tc>
          <w:tcPr>
            <w:tcW w:type="dxa" w:w="3213"/>
            <w:tcMar>
              <w:top w:w="140" w:type="dxa"/>
              <w:start w:w="160" w:type="dxa"/>
              <w:bottom w:w="140" w:type="dxa"/>
              <w:end w:w="160" w:type="dxa"/>
            </w:tcMar>
            <w:vAlign w:val="center"/>
          </w:tcPr>
          <w:p>
            <w:pPr>
              <w:jc w:val="center"/>
            </w:pPr>
            <w:r>
              <w:rPr>
                <w:sz w:val="17"/>
              </w:rPr>
              <w:t>Fassuhoudine VELOU</w:t>
              <w:br/>
              <w:t>Abihourairi VELOU</w:t>
              <w:br/>
              <w:t>Maturafi VELOU</w:t>
            </w:r>
          </w:p>
        </w:tc>
        <w:tc>
          <w:tcPr>
            <w:tcW w:type="dxa" w:w="3213"/>
            <w:tcMar>
              <w:top w:w="140" w:type="dxa"/>
              <w:start w:w="160" w:type="dxa"/>
              <w:bottom w:w="140" w:type="dxa"/>
              <w:end w:w="160" w:type="dxa"/>
            </w:tcMar>
            <w:vAlign w:val="center"/>
          </w:tcPr>
          <w:p>
            <w:pPr>
              <w:jc w:val="left"/>
            </w:pPr>
            <w:r>
              <w:rPr>
                <w:sz w:val="17"/>
              </w:rPr>
              <w:t>46 rue de Metz</w:t>
              <w:br/>
              <w:t>81100 Castres — France</w:t>
            </w:r>
          </w:p>
        </w:tc>
        <w:tc>
          <w:tcPr>
            <w:tcW w:type="dxa" w:w="3213"/>
            <w:tcMar>
              <w:top w:w="140" w:type="dxa"/>
              <w:start w:w="160" w:type="dxa"/>
              <w:bottom w:w="140" w:type="dxa"/>
              <w:end w:w="160" w:type="dxa"/>
            </w:tcMar>
            <w:vAlign w:val="center"/>
          </w:tcPr>
          <w:p>
            <w:pPr>
              <w:jc w:val="left"/>
            </w:pPr>
            <w:r>
              <w:rPr>
                <w:sz w:val="17"/>
              </w:rPr>
              <w:t>Fassuhoudine.velou@outlook.fr</w:t>
              <w:br/>
              <w:t>mahoratransitgroup.fr</w:t>
            </w:r>
          </w:p>
        </w:tc>
      </w:tr>
    </w:tbl>
    <w:p>
      <w:pPr>
        <w:pStyle w:val="Heading1"/>
      </w:pPr>
      <w:r>
        <w:t>Avertissement aux investisseurs</w:t>
      </w:r>
    </w:p>
    <w:p>
      <w:r>
        <w:t>Une perte partielle ou totale du capital est possible dans tout investissement en titres non cotés. Aucune liquidité, aucun rendement, aucune garantie de sortie et aucun calendrier de distribution ne sont proposés à ce stade. Les coûts, délais, tracés, autorisations, recettes et modalités contractuelles restent incertains. Tout investisseur devra mener ses propres diligences et consulter ses conseils.</w:t>
      </w:r>
    </w:p>
    <w:p>
      <w:pPr>
        <w:pStyle w:val="Heading2"/>
      </w:pPr>
      <w:r>
        <w:t>Sources réglementaires principales</w:t>
      </w:r>
    </w:p>
    <w:p>
      <w:pPr>
        <w:pStyle w:val="ListBullet"/>
      </w:pPr>
      <w:r>
        <w:t>Autorité des marchés financiers — Réglementation applicable aux prospectus : https://www.amf-france.org/fr/actualites-publications/dossiers-thematiques/prospectus</w:t>
      </w:r>
    </w:p>
    <w:p>
      <w:pPr>
        <w:pStyle w:val="ListBullet"/>
      </w:pPr>
      <w:r>
        <w:t>AMF — Prestataires de services de financement participatif : https://www.amf-france.org/fr/espace-professionnels/fintech/mes-relations-avec-lamf/exercer-une-activite-de-prestataire-de-services-de-financement-participatif-psfp-en-france</w:t>
      </w:r>
    </w:p>
    <w:p>
      <w:pPr>
        <w:pStyle w:val="ListBullet"/>
      </w:pPr>
      <w:r>
        <w:t>Règlement (UE) 2020/1503 : https://eur-lex.europa.eu/eli/reg/2020/1503/oj/fra</w:t>
      </w:r>
    </w:p>
    <w:sectPr w:rsidR="00FC693F" w:rsidRPr="0006063C" w:rsidSect="00034616">
      <w:headerReference w:type="default" r:id="rId9"/>
      <w:footerReference w:type="default" r:id="rId10"/>
      <w:pgSz w:w="11906" w:h="16838"/>
      <w:pgMar w:top="1020"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Projet en structuration • Septembre 2026 • DOCUMENT DE TRAVAIL — CONFIDENTIEL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Caps"/>
    </w:pPr>
    <w:r>
      <w:t>MTG  |  MAHORA TRANSIT GROUP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Aptos" w:hAnsi="Aptos"/>
      <w:color w:val="061C3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outlineLvl w:val="0"/>
    </w:pPr>
    <w:rPr>
      <w:rFonts w:asciiTheme="majorHAnsi" w:eastAsiaTheme="majorEastAsia" w:hAnsiTheme="majorHAnsi" w:cstheme="majorBidi" w:ascii="Aptos Display" w:hAnsi="Aptos Display"/>
      <w:b/>
      <w:bCs/>
      <w:color w:val="061C3F"/>
      <w:sz w:val="46"/>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Theme="majorHAnsi" w:eastAsiaTheme="majorEastAsia" w:hAnsiTheme="majorHAnsi" w:cstheme="majorBidi" w:ascii="Aptos Display" w:hAnsi="Aptos Display"/>
      <w:b/>
      <w:bCs/>
      <w:color w:val="08A8BF"/>
      <w:sz w:val="30"/>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Theme="majorHAnsi" w:eastAsiaTheme="majorEastAsia" w:hAnsiTheme="majorHAnsi" w:cstheme="majorBidi" w:ascii="Aptos Display" w:hAnsi="Aptos Display"/>
      <w:b/>
      <w:bCs/>
      <w:color w:val="061C3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40" w:line="240" w:lineRule="auto" w:before="240"/>
      <w:contextualSpacing/>
    </w:pPr>
    <w:rPr>
      <w:rFonts w:asciiTheme="majorHAnsi" w:eastAsiaTheme="majorEastAsia" w:hAnsiTheme="majorHAnsi" w:cstheme="majorBidi" w:ascii="Aptos Display" w:hAnsi="Aptos Display"/>
      <w:b/>
      <w:color w:val="FFFFFF"/>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Caps">
    <w:name w:val="Small Caps"/>
    <w:rPr>
      <w:rFonts w:ascii="Aptos" w:hAnsi="Aptos"/>
      <w:b/>
      <w:color w:val="08A8BF"/>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MTG Dossier Investisseurs 2026</dc:title>
  <dc:subject/>
  <dc:creator>Mahora Transit Group — équipe porteuse VELOU</dc:creator>
  <cp:keywords/>
  <dc:description>generated by python-docx</dc:description>
  <cp:lastModifiedBy/>
  <cp:revision>1</cp:revision>
  <dcterms:created xsi:type="dcterms:W3CDTF">2013-12-23T23:15:00Z</dcterms:created>
  <dcterms:modified xsi:type="dcterms:W3CDTF">2013-12-23T23:15:00Z</dcterms:modified>
  <cp:category/>
</cp:coreProperties>
</file>