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638"/>
      </w:tblGrid>
      <w:tr>
        <w:tc>
          <w:tcPr>
            <w:tcW w:type="dxa" w:w="9638"/>
            <w:shd w:fill="061C3F"/>
            <w:tcMar>
              <w:top w:w="600" w:type="dxa"/>
              <w:start w:w="500" w:type="dxa"/>
              <w:bottom w:w="600" w:type="dxa"/>
              <w:end w:w="500" w:type="dxa"/>
            </w:tcMar>
          </w:tcPr>
          <w:p>
            <w:pPr>
              <w:pStyle w:val="SmallCaps"/>
            </w:pPr>
            <w:r>
              <w:t>MAHORA TRANSIT GROUP  /  MAYOTTE 2055</w:t>
            </w:r>
          </w:p>
          <w:p>
            <w:pPr>
              <w:pStyle w:val="Title"/>
            </w:pPr>
            <w:r>
              <w:t>PLAN JURIDIQUE &amp; FINANCIER</w:t>
            </w:r>
          </w:p>
          <w:p>
            <w:r>
              <w:rPr>
                <w:color w:val="C5D9E4"/>
                <w:sz w:val="30"/>
              </w:rPr>
              <w:t>Feuille de route préliminaire pour structurer une levée institutionnelle</w:t>
            </w:r>
          </w:p>
          <w:p>
            <w:pPr>
              <w:spacing w:before="600"/>
            </w:pPr>
            <w:r>
              <w:rPr>
                <w:b/>
                <w:color w:val="08A8BF"/>
                <w:sz w:val="24"/>
              </w:rPr>
              <w:t>Programme global indicatif : 30,0 Md€ constants 2026</w:t>
            </w:r>
          </w:p>
          <w:p>
            <w:r>
              <w:rPr>
                <w:color w:val="FFFFFF"/>
                <w:sz w:val="18"/>
              </w:rPr>
              <w:t>Horizon 2027–2055  •  Financement mixte  •  Approche par phases et par actifs</w:t>
            </w:r>
          </w:p>
        </w:tc>
      </w:tr>
    </w:tbl>
    <w:p/>
    <w:tbl>
      <w:tblPr>
        <w:tblW w:type="auto" w:w="0"/>
        <w:tblLook w:firstColumn="1" w:firstRow="1" w:lastColumn="0" w:lastRow="0" w:noHBand="0" w:noVBand="1" w:val="04A0"/>
      </w:tblPr>
      <w:tblGrid>
        <w:gridCol w:w="9638"/>
      </w:tblGrid>
      <w:tr>
        <w:tc>
          <w:tcPr>
            <w:tcW w:type="dxa" w:w="9638"/>
            <w:shd w:fill="E8F4F5"/>
            <w:tcMar>
              <w:top w:w="200" w:type="dxa"/>
              <w:start w:w="220" w:type="dxa"/>
              <w:bottom w:w="200" w:type="dxa"/>
              <w:end w:w="220" w:type="dxa"/>
            </w:tcMar>
          </w:tcPr>
          <w:p>
            <w:r>
              <w:rPr>
                <w:b/>
              </w:rPr>
              <w:t xml:space="preserve">AVERTISSEMENT — </w:t>
            </w:r>
            <w:r>
              <w:t>Ce document est une présentation préliminaire. Il ne constitue ni une offre au public de titres financiers, ni un conseil en investissement, ni une sollicitation de souscription. Les hypothèses doivent être auditées et validées avant toute décision.</w:t>
            </w:r>
          </w:p>
        </w:tc>
      </w:tr>
    </w:tbl>
    <w:p>
      <w:r>
        <w:br w:type="page"/>
      </w:r>
    </w:p>
    <w:p>
      <w:pPr>
        <w:pStyle w:val="Heading1"/>
      </w:pPr>
      <w:r>
        <w:t>Décision de cadrage</w:t>
      </w:r>
    </w:p>
    <w:p>
      <w:r>
        <w:t>Le programme de 30 Md€ ne doit pas être lancé sous la forme d’une cagnotte ou d’un appel public immédiat. Il doit être organisé comme un portefeuille de projets d’infrastructure, financé par étapes au moyen de fonds publics, de dette, de fonds propres et de revenus/valorisations, après immatriculation et diligences.</w:t>
      </w:r>
    </w:p>
    <w:p>
      <w:pPr>
        <w:pStyle w:val="Heading1"/>
      </w:pPr>
      <w:r>
        <w:t>Structure juridique recommandée à étudier</w:t>
      </w:r>
    </w:p>
    <w:tbl>
      <w:tblPr>
        <w:tblStyle w:val="TableGrid"/>
        <w:tblW w:type="auto" w:w="0"/>
        <w:jc w:val="center"/>
        <w:tblLook w:firstColumn="1" w:firstRow="1" w:lastColumn="0" w:lastRow="0" w:noHBand="0" w:noVBand="1" w:val="04A0"/>
        <w:tblBorders>
          <w:top w:val="single" w:sz="6" w:color="D8E0E3"/>
          <w:left w:val="single" w:sz="6" w:color="D8E0E3"/>
          <w:bottom w:val="single" w:sz="6" w:color="D8E0E3"/>
          <w:right w:val="single" w:sz="6" w:color="D8E0E3"/>
          <w:insideH w:val="single" w:sz="6" w:color="D8E0E3"/>
          <w:insideV w:val="single" w:sz="6" w:color="D8E0E3"/>
        </w:tblBorders>
      </w:tblPr>
      <w:tblGrid>
        <w:gridCol w:w="3213"/>
        <w:gridCol w:w="3213"/>
        <w:gridCol w:w="3213"/>
      </w:tblGrid>
      <w:tr>
        <w:tc>
          <w:tcPr>
            <w:tcW w:type="dxa" w:w="3213"/>
            <w:shd w:fill="061C3F"/>
            <w:tcMar>
              <w:top w:w="140" w:type="dxa"/>
              <w:start w:w="160" w:type="dxa"/>
              <w:bottom w:w="140" w:type="dxa"/>
              <w:end w:w="160" w:type="dxa"/>
            </w:tcMar>
          </w:tcPr>
          <w:p>
            <w:pPr>
              <w:jc w:val="center"/>
            </w:pPr>
            <w:r>
              <w:rPr>
                <w:b/>
                <w:color w:val="FFFFFF"/>
                <w:sz w:val="16"/>
              </w:rPr>
              <w:t>Niveau</w:t>
            </w:r>
          </w:p>
        </w:tc>
        <w:tc>
          <w:tcPr>
            <w:tcW w:type="dxa" w:w="3213"/>
            <w:shd w:fill="061C3F"/>
            <w:tcMar>
              <w:top w:w="140" w:type="dxa"/>
              <w:start w:w="160" w:type="dxa"/>
              <w:bottom w:w="140" w:type="dxa"/>
              <w:end w:w="160" w:type="dxa"/>
            </w:tcMar>
          </w:tcPr>
          <w:p>
            <w:pPr>
              <w:jc w:val="center"/>
            </w:pPr>
            <w:r>
              <w:rPr>
                <w:b/>
                <w:color w:val="FFFFFF"/>
                <w:sz w:val="16"/>
              </w:rPr>
              <w:t>Fonction</w:t>
            </w:r>
          </w:p>
        </w:tc>
        <w:tc>
          <w:tcPr>
            <w:tcW w:type="dxa" w:w="3213"/>
            <w:shd w:fill="061C3F"/>
            <w:tcMar>
              <w:top w:w="140" w:type="dxa"/>
              <w:start w:w="160" w:type="dxa"/>
              <w:bottom w:w="140" w:type="dxa"/>
              <w:end w:w="160" w:type="dxa"/>
            </w:tcMar>
          </w:tcPr>
          <w:p>
            <w:pPr>
              <w:jc w:val="center"/>
            </w:pPr>
            <w:r>
              <w:rPr>
                <w:b/>
                <w:color w:val="FFFFFF"/>
                <w:sz w:val="16"/>
              </w:rPr>
              <w:t>Décision / protection</w:t>
            </w:r>
          </w:p>
        </w:tc>
      </w:tr>
      <w:tr>
        <w:tc>
          <w:tcPr>
            <w:tcW w:type="dxa" w:w="3213"/>
            <w:tcMar>
              <w:top w:w="140" w:type="dxa"/>
              <w:start w:w="160" w:type="dxa"/>
              <w:bottom w:w="140" w:type="dxa"/>
              <w:end w:w="160" w:type="dxa"/>
            </w:tcMar>
            <w:vAlign w:val="center"/>
          </w:tcPr>
          <w:p>
            <w:pPr>
              <w:jc w:val="center"/>
            </w:pPr>
            <w:r>
              <w:rPr>
                <w:sz w:val="17"/>
              </w:rPr>
              <w:t>SAS MTG (groupe)</w:t>
            </w:r>
          </w:p>
        </w:tc>
        <w:tc>
          <w:tcPr>
            <w:tcW w:type="dxa" w:w="3213"/>
            <w:tcMar>
              <w:top w:w="140" w:type="dxa"/>
              <w:start w:w="160" w:type="dxa"/>
              <w:bottom w:w="140" w:type="dxa"/>
              <w:end w:w="160" w:type="dxa"/>
            </w:tcMar>
            <w:vAlign w:val="center"/>
          </w:tcPr>
          <w:p>
            <w:pPr>
              <w:jc w:val="left"/>
            </w:pPr>
            <w:r>
              <w:rPr>
                <w:sz w:val="17"/>
              </w:rPr>
              <w:t>Stratégie, marque, développement, propriété intellectuelle</w:t>
            </w:r>
          </w:p>
        </w:tc>
        <w:tc>
          <w:tcPr>
            <w:tcW w:type="dxa" w:w="3213"/>
            <w:tcMar>
              <w:top w:w="140" w:type="dxa"/>
              <w:start w:w="160" w:type="dxa"/>
              <w:bottom w:w="140" w:type="dxa"/>
              <w:end w:w="160" w:type="dxa"/>
            </w:tcMar>
            <w:vAlign w:val="center"/>
          </w:tcPr>
          <w:p>
            <w:pPr>
              <w:jc w:val="left"/>
            </w:pPr>
            <w:r>
              <w:rPr>
                <w:sz w:val="17"/>
              </w:rPr>
              <w:t>Immatriculation, statuts, pacte familial, délégations et contrôle interne.</w:t>
            </w:r>
          </w:p>
        </w:tc>
      </w:tr>
      <w:tr>
        <w:tc>
          <w:tcPr>
            <w:tcW w:type="dxa" w:w="3213"/>
            <w:tcMar>
              <w:top w:w="140" w:type="dxa"/>
              <w:start w:w="160" w:type="dxa"/>
              <w:bottom w:w="140" w:type="dxa"/>
              <w:end w:w="160" w:type="dxa"/>
            </w:tcMar>
            <w:vAlign w:val="center"/>
          </w:tcPr>
          <w:p>
            <w:pPr>
              <w:jc w:val="center"/>
            </w:pPr>
            <w:r>
              <w:rPr>
                <w:sz w:val="17"/>
              </w:rPr>
              <w:t>Société de développement</w:t>
            </w:r>
          </w:p>
        </w:tc>
        <w:tc>
          <w:tcPr>
            <w:tcW w:type="dxa" w:w="3213"/>
            <w:tcMar>
              <w:top w:w="140" w:type="dxa"/>
              <w:start w:w="160" w:type="dxa"/>
              <w:bottom w:w="140" w:type="dxa"/>
              <w:end w:w="160" w:type="dxa"/>
            </w:tcMar>
            <w:vAlign w:val="center"/>
          </w:tcPr>
          <w:p>
            <w:pPr>
              <w:jc w:val="left"/>
            </w:pPr>
            <w:r>
              <w:rPr>
                <w:sz w:val="17"/>
              </w:rPr>
              <w:t>Études, partenariats, préparation des appels d’offres</w:t>
            </w:r>
          </w:p>
        </w:tc>
        <w:tc>
          <w:tcPr>
            <w:tcW w:type="dxa" w:w="3213"/>
            <w:tcMar>
              <w:top w:w="140" w:type="dxa"/>
              <w:start w:w="160" w:type="dxa"/>
              <w:bottom w:w="140" w:type="dxa"/>
              <w:end w:w="160" w:type="dxa"/>
            </w:tcMar>
            <w:vAlign w:val="center"/>
          </w:tcPr>
          <w:p>
            <w:pPr>
              <w:jc w:val="left"/>
            </w:pPr>
            <w:r>
              <w:rPr>
                <w:sz w:val="17"/>
              </w:rPr>
              <w:t>Budget distinct, conventions intragroupe et gouvernance projet.</w:t>
            </w:r>
          </w:p>
        </w:tc>
      </w:tr>
      <w:tr>
        <w:tc>
          <w:tcPr>
            <w:tcW w:type="dxa" w:w="3213"/>
            <w:tcMar>
              <w:top w:w="140" w:type="dxa"/>
              <w:start w:w="160" w:type="dxa"/>
              <w:bottom w:w="140" w:type="dxa"/>
              <w:end w:w="160" w:type="dxa"/>
            </w:tcMar>
            <w:vAlign w:val="center"/>
          </w:tcPr>
          <w:p>
            <w:pPr>
              <w:jc w:val="center"/>
            </w:pPr>
            <w:r>
              <w:rPr>
                <w:sz w:val="17"/>
              </w:rPr>
              <w:t>SPV par actif ou lot</w:t>
            </w:r>
          </w:p>
        </w:tc>
        <w:tc>
          <w:tcPr>
            <w:tcW w:type="dxa" w:w="3213"/>
            <w:tcMar>
              <w:top w:w="140" w:type="dxa"/>
              <w:start w:w="160" w:type="dxa"/>
              <w:bottom w:w="140" w:type="dxa"/>
              <w:end w:w="160" w:type="dxa"/>
            </w:tcMar>
            <w:vAlign w:val="center"/>
          </w:tcPr>
          <w:p>
            <w:pPr>
              <w:jc w:val="left"/>
            </w:pPr>
            <w:r>
              <w:rPr>
                <w:sz w:val="17"/>
              </w:rPr>
              <w:t>Financement, contrat et risques propres à une opération</w:t>
            </w:r>
          </w:p>
        </w:tc>
        <w:tc>
          <w:tcPr>
            <w:tcW w:type="dxa" w:w="3213"/>
            <w:tcMar>
              <w:top w:w="140" w:type="dxa"/>
              <w:start w:w="160" w:type="dxa"/>
              <w:bottom w:w="140" w:type="dxa"/>
              <w:end w:w="160" w:type="dxa"/>
            </w:tcMar>
            <w:vAlign w:val="center"/>
          </w:tcPr>
          <w:p>
            <w:pPr>
              <w:jc w:val="left"/>
            </w:pPr>
            <w:r>
              <w:rPr>
                <w:sz w:val="17"/>
              </w:rPr>
              <w:t>Création uniquement après faisabilité et accord des partenaires.</w:t>
            </w:r>
          </w:p>
        </w:tc>
      </w:tr>
      <w:tr>
        <w:tc>
          <w:tcPr>
            <w:tcW w:type="dxa" w:w="3213"/>
            <w:tcMar>
              <w:top w:w="140" w:type="dxa"/>
              <w:start w:w="160" w:type="dxa"/>
              <w:bottom w:w="140" w:type="dxa"/>
              <w:end w:w="160" w:type="dxa"/>
            </w:tcMar>
            <w:vAlign w:val="center"/>
          </w:tcPr>
          <w:p>
            <w:pPr>
              <w:jc w:val="center"/>
            </w:pPr>
            <w:r>
              <w:rPr>
                <w:sz w:val="17"/>
              </w:rPr>
              <w:t>Consortium / groupement</w:t>
            </w:r>
          </w:p>
        </w:tc>
        <w:tc>
          <w:tcPr>
            <w:tcW w:type="dxa" w:w="3213"/>
            <w:tcMar>
              <w:top w:w="140" w:type="dxa"/>
              <w:start w:w="160" w:type="dxa"/>
              <w:bottom w:w="140" w:type="dxa"/>
              <w:end w:w="160" w:type="dxa"/>
            </w:tcMar>
            <w:vAlign w:val="center"/>
          </w:tcPr>
          <w:p>
            <w:pPr>
              <w:jc w:val="left"/>
            </w:pPr>
            <w:r>
              <w:rPr>
                <w:sz w:val="17"/>
              </w:rPr>
              <w:t>Associer opérateurs, ingénieristes et financeurs</w:t>
            </w:r>
          </w:p>
        </w:tc>
        <w:tc>
          <w:tcPr>
            <w:tcW w:type="dxa" w:w="3213"/>
            <w:tcMar>
              <w:top w:w="140" w:type="dxa"/>
              <w:start w:w="160" w:type="dxa"/>
              <w:bottom w:w="140" w:type="dxa"/>
              <w:end w:w="160" w:type="dxa"/>
            </w:tcMar>
            <w:vAlign w:val="center"/>
          </w:tcPr>
          <w:p>
            <w:pPr>
              <w:jc w:val="left"/>
            </w:pPr>
            <w:r>
              <w:rPr>
                <w:sz w:val="17"/>
              </w:rPr>
              <w:t>Accord de consortium, confidentialité, exclusivité limitée, propriété des études.</w:t>
            </w:r>
          </w:p>
        </w:tc>
      </w:tr>
    </w:tbl>
    <w:p>
      <w:r>
        <w:t>Cette architecture est une piste de travail. Le recours à une concession, un marché de partenariat, une société d’économie mixte à opération unique ou un autre véhicule dépendra des autorités compétentes, de la commande publique et de l’allocation réelle des risques.</w:t>
      </w:r>
    </w:p>
    <w:p>
      <w:pPr>
        <w:pStyle w:val="Heading1"/>
      </w:pPr>
      <w:r>
        <w:t>Préconditions impératives</w:t>
      </w:r>
    </w:p>
    <w:p>
      <w:pPr>
        <w:pStyle w:val="ListBullet"/>
      </w:pPr>
      <w:r>
        <w:t>Immatriculer la SAS MTG et obtenir Kbis, compte bancaire, assurance et organisation comptable.</w:t>
      </w:r>
    </w:p>
    <w:p>
      <w:pPr>
        <w:pStyle w:val="ListBullet"/>
      </w:pPr>
      <w:r>
        <w:t>Finaliser statuts et pacte d’associés : droits de vote, agrément, préemption, clauses de sortie, décès/incapacité et résolution des conflits.</w:t>
      </w:r>
    </w:p>
    <w:p>
      <w:pPr>
        <w:pStyle w:val="ListBullet"/>
      </w:pPr>
      <w:r>
        <w:t>Définir précisément ce que la société peut développer sans se substituer aux compétences des autorités publiques.</w:t>
      </w:r>
    </w:p>
    <w:p>
      <w:pPr>
        <w:pStyle w:val="ListBullet"/>
      </w:pPr>
      <w:r>
        <w:t>Faire contrôler les marques, noms de domaines, contenus cartographiques et droits d’auteur.</w:t>
      </w:r>
    </w:p>
    <w:p>
      <w:pPr>
        <w:pStyle w:val="ListBullet"/>
      </w:pPr>
      <w:r>
        <w:t>Mandater un avocat en droit des affaires / marchés de capitaux et un expert-comptable.</w:t>
      </w:r>
    </w:p>
    <w:p>
      <w:pPr>
        <w:pStyle w:val="ListBullet"/>
      </w:pPr>
      <w:r>
        <w:t>Créer un registre des décisions, des conflits d’intérêts, des cadeaux et des partenaires.</w:t>
      </w:r>
    </w:p>
    <w:p>
      <w:r>
        <w:br w:type="page"/>
      </w:r>
    </w:p>
    <w:p>
      <w:pPr>
        <w:pStyle w:val="Heading1"/>
      </w:pPr>
      <w:r>
        <w:t>Canaux de financement : choix par étape</w:t>
      </w:r>
    </w:p>
    <w:tbl>
      <w:tblPr>
        <w:tblStyle w:val="TableGrid"/>
        <w:tblW w:type="auto" w:w="0"/>
        <w:jc w:val="center"/>
        <w:tblLook w:firstColumn="1" w:firstRow="1" w:lastColumn="0" w:lastRow="0" w:noHBand="0" w:noVBand="1" w:val="04A0"/>
        <w:tblBorders>
          <w:top w:val="single" w:sz="6" w:color="D8E0E3"/>
          <w:left w:val="single" w:sz="6" w:color="D8E0E3"/>
          <w:bottom w:val="single" w:sz="6" w:color="D8E0E3"/>
          <w:right w:val="single" w:sz="6" w:color="D8E0E3"/>
          <w:insideH w:val="single" w:sz="6" w:color="D8E0E3"/>
          <w:insideV w:val="single" w:sz="6" w:color="D8E0E3"/>
        </w:tblBorders>
      </w:tblPr>
      <w:tblGrid>
        <w:gridCol w:w="3213"/>
        <w:gridCol w:w="3213"/>
        <w:gridCol w:w="3213"/>
      </w:tblGrid>
      <w:tr>
        <w:tc>
          <w:tcPr>
            <w:tcW w:type="dxa" w:w="3213"/>
            <w:shd w:fill="061C3F"/>
            <w:tcMar>
              <w:top w:w="140" w:type="dxa"/>
              <w:start w:w="160" w:type="dxa"/>
              <w:bottom w:w="140" w:type="dxa"/>
              <w:end w:w="160" w:type="dxa"/>
            </w:tcMar>
          </w:tcPr>
          <w:p>
            <w:pPr>
              <w:jc w:val="center"/>
            </w:pPr>
            <w:r>
              <w:rPr>
                <w:b/>
                <w:color w:val="FFFFFF"/>
                <w:sz w:val="16"/>
              </w:rPr>
              <w:t>Canal</w:t>
            </w:r>
          </w:p>
        </w:tc>
        <w:tc>
          <w:tcPr>
            <w:tcW w:type="dxa" w:w="3213"/>
            <w:shd w:fill="061C3F"/>
            <w:tcMar>
              <w:top w:w="140" w:type="dxa"/>
              <w:start w:w="160" w:type="dxa"/>
              <w:bottom w:w="140" w:type="dxa"/>
              <w:end w:w="160" w:type="dxa"/>
            </w:tcMar>
          </w:tcPr>
          <w:p>
            <w:pPr>
              <w:jc w:val="center"/>
            </w:pPr>
            <w:r>
              <w:rPr>
                <w:b/>
                <w:color w:val="FFFFFF"/>
                <w:sz w:val="16"/>
              </w:rPr>
              <w:t>Usage possible</w:t>
            </w:r>
          </w:p>
        </w:tc>
        <w:tc>
          <w:tcPr>
            <w:tcW w:type="dxa" w:w="3213"/>
            <w:shd w:fill="061C3F"/>
            <w:tcMar>
              <w:top w:w="140" w:type="dxa"/>
              <w:start w:w="160" w:type="dxa"/>
              <w:bottom w:w="140" w:type="dxa"/>
              <w:end w:w="160" w:type="dxa"/>
            </w:tcMar>
          </w:tcPr>
          <w:p>
            <w:pPr>
              <w:jc w:val="center"/>
            </w:pPr>
            <w:r>
              <w:rPr>
                <w:b/>
                <w:color w:val="FFFFFF"/>
                <w:sz w:val="16"/>
              </w:rPr>
              <w:t>Point de vigilance</w:t>
            </w:r>
          </w:p>
        </w:tc>
      </w:tr>
      <w:tr>
        <w:tc>
          <w:tcPr>
            <w:tcW w:type="dxa" w:w="3213"/>
            <w:tcMar>
              <w:top w:w="140" w:type="dxa"/>
              <w:start w:w="160" w:type="dxa"/>
              <w:bottom w:w="140" w:type="dxa"/>
              <w:end w:w="160" w:type="dxa"/>
            </w:tcMar>
            <w:vAlign w:val="center"/>
          </w:tcPr>
          <w:p>
            <w:pPr>
              <w:jc w:val="center"/>
            </w:pPr>
            <w:r>
              <w:rPr>
                <w:sz w:val="17"/>
              </w:rPr>
              <w:t>Apports fondateurs / business angels</w:t>
            </w:r>
          </w:p>
        </w:tc>
        <w:tc>
          <w:tcPr>
            <w:tcW w:type="dxa" w:w="3213"/>
            <w:tcMar>
              <w:top w:w="140" w:type="dxa"/>
              <w:start w:w="160" w:type="dxa"/>
              <w:bottom w:w="140" w:type="dxa"/>
              <w:end w:w="160" w:type="dxa"/>
            </w:tcMar>
            <w:vAlign w:val="center"/>
          </w:tcPr>
          <w:p>
            <w:pPr>
              <w:jc w:val="left"/>
            </w:pPr>
            <w:r>
              <w:rPr>
                <w:sz w:val="17"/>
              </w:rPr>
              <w:t>Financer la société de développement et les premières études</w:t>
            </w:r>
          </w:p>
        </w:tc>
        <w:tc>
          <w:tcPr>
            <w:tcW w:type="dxa" w:w="3213"/>
            <w:tcMar>
              <w:top w:w="140" w:type="dxa"/>
              <w:start w:w="160" w:type="dxa"/>
              <w:bottom w:w="140" w:type="dxa"/>
              <w:end w:w="160" w:type="dxa"/>
            </w:tcMar>
            <w:vAlign w:val="center"/>
          </w:tcPr>
          <w:p>
            <w:pPr>
              <w:jc w:val="left"/>
            </w:pPr>
            <w:r>
              <w:rPr>
                <w:sz w:val="17"/>
              </w:rPr>
              <w:t>Valorisation, dilution, pacte et information des souscripteurs.</w:t>
            </w:r>
          </w:p>
        </w:tc>
      </w:tr>
      <w:tr>
        <w:tc>
          <w:tcPr>
            <w:tcW w:type="dxa" w:w="3213"/>
            <w:tcMar>
              <w:top w:w="140" w:type="dxa"/>
              <w:start w:w="160" w:type="dxa"/>
              <w:bottom w:w="140" w:type="dxa"/>
              <w:end w:w="160" w:type="dxa"/>
            </w:tcMar>
            <w:vAlign w:val="center"/>
          </w:tcPr>
          <w:p>
            <w:pPr>
              <w:jc w:val="center"/>
            </w:pPr>
            <w:r>
              <w:rPr>
                <w:sz w:val="17"/>
              </w:rPr>
              <w:t>Investisseurs professionnels</w:t>
            </w:r>
          </w:p>
        </w:tc>
        <w:tc>
          <w:tcPr>
            <w:tcW w:type="dxa" w:w="3213"/>
            <w:tcMar>
              <w:top w:w="140" w:type="dxa"/>
              <w:start w:w="160" w:type="dxa"/>
              <w:bottom w:w="140" w:type="dxa"/>
              <w:end w:w="160" w:type="dxa"/>
            </w:tcMar>
            <w:vAlign w:val="center"/>
          </w:tcPr>
          <w:p>
            <w:pPr>
              <w:jc w:val="left"/>
            </w:pPr>
            <w:r>
              <w:rPr>
                <w:sz w:val="17"/>
              </w:rPr>
              <w:t>Capital ou quasi-capital par véhicule / actif</w:t>
            </w:r>
          </w:p>
        </w:tc>
        <w:tc>
          <w:tcPr>
            <w:tcW w:type="dxa" w:w="3213"/>
            <w:tcMar>
              <w:top w:w="140" w:type="dxa"/>
              <w:start w:w="160" w:type="dxa"/>
              <w:bottom w:w="140" w:type="dxa"/>
              <w:end w:w="160" w:type="dxa"/>
            </w:tcMar>
            <w:vAlign w:val="center"/>
          </w:tcPr>
          <w:p>
            <w:pPr>
              <w:jc w:val="left"/>
            </w:pPr>
            <w:r>
              <w:rPr>
                <w:sz w:val="17"/>
              </w:rPr>
              <w:t>Diligence institutionnelle, gouvernance, documentation contractuelle.</w:t>
            </w:r>
          </w:p>
        </w:tc>
      </w:tr>
      <w:tr>
        <w:tc>
          <w:tcPr>
            <w:tcW w:type="dxa" w:w="3213"/>
            <w:tcMar>
              <w:top w:w="140" w:type="dxa"/>
              <w:start w:w="160" w:type="dxa"/>
              <w:bottom w:w="140" w:type="dxa"/>
              <w:end w:w="160" w:type="dxa"/>
            </w:tcMar>
            <w:vAlign w:val="center"/>
          </w:tcPr>
          <w:p>
            <w:pPr>
              <w:jc w:val="center"/>
            </w:pPr>
            <w:r>
              <w:rPr>
                <w:sz w:val="17"/>
              </w:rPr>
              <w:t>Dette bancaire / institutionnelle</w:t>
            </w:r>
          </w:p>
        </w:tc>
        <w:tc>
          <w:tcPr>
            <w:tcW w:type="dxa" w:w="3213"/>
            <w:tcMar>
              <w:top w:w="140" w:type="dxa"/>
              <w:start w:w="160" w:type="dxa"/>
              <w:bottom w:w="140" w:type="dxa"/>
              <w:end w:w="160" w:type="dxa"/>
            </w:tcMar>
            <w:vAlign w:val="center"/>
          </w:tcPr>
          <w:p>
            <w:pPr>
              <w:jc w:val="left"/>
            </w:pPr>
            <w:r>
              <w:rPr>
                <w:sz w:val="17"/>
              </w:rPr>
              <w:t>Actifs disposant de flux ou paiements sécurisés</w:t>
            </w:r>
          </w:p>
        </w:tc>
        <w:tc>
          <w:tcPr>
            <w:tcW w:type="dxa" w:w="3213"/>
            <w:tcMar>
              <w:top w:w="140" w:type="dxa"/>
              <w:start w:w="160" w:type="dxa"/>
              <w:bottom w:w="140" w:type="dxa"/>
              <w:end w:w="160" w:type="dxa"/>
            </w:tcMar>
            <w:vAlign w:val="center"/>
          </w:tcPr>
          <w:p>
            <w:pPr>
              <w:jc w:val="left"/>
            </w:pPr>
            <w:r>
              <w:rPr>
                <w:sz w:val="17"/>
              </w:rPr>
              <w:t>Garanties, ratios, maturité, risque de construction et taux.</w:t>
            </w:r>
          </w:p>
        </w:tc>
      </w:tr>
      <w:tr>
        <w:tc>
          <w:tcPr>
            <w:tcW w:type="dxa" w:w="3213"/>
            <w:tcMar>
              <w:top w:w="140" w:type="dxa"/>
              <w:start w:w="160" w:type="dxa"/>
              <w:bottom w:w="140" w:type="dxa"/>
              <w:end w:w="160" w:type="dxa"/>
            </w:tcMar>
            <w:vAlign w:val="center"/>
          </w:tcPr>
          <w:p>
            <w:pPr>
              <w:jc w:val="center"/>
            </w:pPr>
            <w:r>
              <w:rPr>
                <w:sz w:val="17"/>
              </w:rPr>
              <w:t>Financements publics</w:t>
            </w:r>
          </w:p>
        </w:tc>
        <w:tc>
          <w:tcPr>
            <w:tcW w:type="dxa" w:w="3213"/>
            <w:tcMar>
              <w:top w:w="140" w:type="dxa"/>
              <w:start w:w="160" w:type="dxa"/>
              <w:bottom w:w="140" w:type="dxa"/>
              <w:end w:w="160" w:type="dxa"/>
            </w:tcMar>
            <w:vAlign w:val="center"/>
          </w:tcPr>
          <w:p>
            <w:pPr>
              <w:jc w:val="left"/>
            </w:pPr>
            <w:r>
              <w:rPr>
                <w:sz w:val="17"/>
              </w:rPr>
              <w:t>Études, utilité publique, infrastructures non rentables seules</w:t>
            </w:r>
          </w:p>
        </w:tc>
        <w:tc>
          <w:tcPr>
            <w:tcW w:type="dxa" w:w="3213"/>
            <w:tcMar>
              <w:top w:w="140" w:type="dxa"/>
              <w:start w:w="160" w:type="dxa"/>
              <w:bottom w:w="140" w:type="dxa"/>
              <w:end w:w="160" w:type="dxa"/>
            </w:tcMar>
            <w:vAlign w:val="center"/>
          </w:tcPr>
          <w:p>
            <w:pPr>
              <w:jc w:val="left"/>
            </w:pPr>
            <w:r>
              <w:rPr>
                <w:sz w:val="17"/>
              </w:rPr>
              <w:t>Éligibilité, aides d’État, commande publique, décisions budgétaires.</w:t>
            </w:r>
          </w:p>
        </w:tc>
      </w:tr>
      <w:tr>
        <w:tc>
          <w:tcPr>
            <w:tcW w:type="dxa" w:w="3213"/>
            <w:tcMar>
              <w:top w:w="140" w:type="dxa"/>
              <w:start w:w="160" w:type="dxa"/>
              <w:bottom w:w="140" w:type="dxa"/>
              <w:end w:w="160" w:type="dxa"/>
            </w:tcMar>
            <w:vAlign w:val="center"/>
          </w:tcPr>
          <w:p>
            <w:pPr>
              <w:jc w:val="center"/>
            </w:pPr>
            <w:r>
              <w:rPr>
                <w:sz w:val="17"/>
              </w:rPr>
              <w:t>Obligations / titres</w:t>
            </w:r>
          </w:p>
        </w:tc>
        <w:tc>
          <w:tcPr>
            <w:tcW w:type="dxa" w:w="3213"/>
            <w:tcMar>
              <w:top w:w="140" w:type="dxa"/>
              <w:start w:w="160" w:type="dxa"/>
              <w:bottom w:w="140" w:type="dxa"/>
              <w:end w:w="160" w:type="dxa"/>
            </w:tcMar>
            <w:vAlign w:val="center"/>
          </w:tcPr>
          <w:p>
            <w:pPr>
              <w:jc w:val="left"/>
            </w:pPr>
            <w:r>
              <w:rPr>
                <w:sz w:val="17"/>
              </w:rPr>
              <w:t>Lots matures et émetteur structuré</w:t>
            </w:r>
          </w:p>
        </w:tc>
        <w:tc>
          <w:tcPr>
            <w:tcW w:type="dxa" w:w="3213"/>
            <w:tcMar>
              <w:top w:w="140" w:type="dxa"/>
              <w:start w:w="160" w:type="dxa"/>
              <w:bottom w:w="140" w:type="dxa"/>
              <w:end w:w="160" w:type="dxa"/>
            </w:tcMar>
            <w:vAlign w:val="center"/>
          </w:tcPr>
          <w:p>
            <w:pPr>
              <w:jc w:val="left"/>
            </w:pPr>
            <w:r>
              <w:rPr>
                <w:sz w:val="17"/>
              </w:rPr>
              <w:t>Prospectus ou exemption, documentation, placement et suivi.</w:t>
            </w:r>
          </w:p>
        </w:tc>
      </w:tr>
      <w:tr>
        <w:tc>
          <w:tcPr>
            <w:tcW w:type="dxa" w:w="3213"/>
            <w:tcMar>
              <w:top w:w="140" w:type="dxa"/>
              <w:start w:w="160" w:type="dxa"/>
              <w:bottom w:w="140" w:type="dxa"/>
              <w:end w:w="160" w:type="dxa"/>
            </w:tcMar>
            <w:vAlign w:val="center"/>
          </w:tcPr>
          <w:p>
            <w:pPr>
              <w:jc w:val="center"/>
            </w:pPr>
            <w:r>
              <w:rPr>
                <w:sz w:val="17"/>
              </w:rPr>
              <w:t>Financement participatif PSFP</w:t>
            </w:r>
          </w:p>
        </w:tc>
        <w:tc>
          <w:tcPr>
            <w:tcW w:type="dxa" w:w="3213"/>
            <w:tcMar>
              <w:top w:w="140" w:type="dxa"/>
              <w:start w:w="160" w:type="dxa"/>
              <w:bottom w:w="140" w:type="dxa"/>
              <w:end w:w="160" w:type="dxa"/>
            </w:tcMar>
            <w:vAlign w:val="center"/>
          </w:tcPr>
          <w:p>
            <w:pPr>
              <w:jc w:val="left"/>
            </w:pPr>
            <w:r>
              <w:rPr>
                <w:sz w:val="17"/>
              </w:rPr>
              <w:t>Petites tranches seulement via prestataire agréé</w:t>
            </w:r>
          </w:p>
        </w:tc>
        <w:tc>
          <w:tcPr>
            <w:tcW w:type="dxa" w:w="3213"/>
            <w:tcMar>
              <w:top w:w="140" w:type="dxa"/>
              <w:start w:w="160" w:type="dxa"/>
              <w:bottom w:w="140" w:type="dxa"/>
              <w:end w:w="160" w:type="dxa"/>
            </w:tcMar>
            <w:vAlign w:val="center"/>
          </w:tcPr>
          <w:p>
            <w:pPr>
              <w:jc w:val="left"/>
            </w:pPr>
            <w:r>
              <w:rPr>
                <w:sz w:val="17"/>
              </w:rPr>
              <w:t>Cadre européen plafonné à 5 M€ par porteur sur 12 mois ; inadapté au besoin global.</w:t>
            </w:r>
          </w:p>
        </w:tc>
      </w:tr>
    </w:tbl>
    <w:p>
      <w:pPr>
        <w:pStyle w:val="Heading1"/>
      </w:pPr>
      <w:r>
        <w:t>Offre au public : règle de prudence</w:t>
      </w:r>
    </w:p>
    <w:p>
      <w:r>
        <w:t>Le site mahoratransitgroup.fr doit rester une page d’information et de manifestation d’intérêt. Il ne doit pas encaisser de fonds, afficher de conditions de souscription, promettre un rendement ou permettre un engagement ferme. Une offre de titres à grande échelle peut nécessiter un prospectus approuvé et l’intervention de professionnels réglementés. Les exemptions et seuils évoluent : le dispositif exact devra être confirmé à la date de chaque opération.</w:t>
      </w:r>
    </w:p>
    <w:p>
      <w:pPr>
        <w:pStyle w:val="Heading2"/>
      </w:pPr>
      <w:r>
        <w:t>Messages autorisés / interdits avant validation</w:t>
      </w:r>
    </w:p>
    <w:tbl>
      <w:tblPr>
        <w:tblStyle w:val="TableGrid"/>
        <w:tblW w:type="auto" w:w="0"/>
        <w:jc w:val="center"/>
        <w:tblLook w:firstColumn="1" w:firstRow="1" w:lastColumn="0" w:lastRow="0" w:noHBand="0" w:noVBand="1" w:val="04A0"/>
        <w:tblBorders>
          <w:top w:val="single" w:sz="6" w:color="D8E0E3"/>
          <w:left w:val="single" w:sz="6" w:color="D8E0E3"/>
          <w:bottom w:val="single" w:sz="6" w:color="D8E0E3"/>
          <w:right w:val="single" w:sz="6" w:color="D8E0E3"/>
          <w:insideH w:val="single" w:sz="6" w:color="D8E0E3"/>
          <w:insideV w:val="single" w:sz="6" w:color="D8E0E3"/>
        </w:tblBorders>
      </w:tblPr>
      <w:tblGrid>
        <w:gridCol w:w="4819"/>
        <w:gridCol w:w="4819"/>
      </w:tblGrid>
      <w:tr>
        <w:tc>
          <w:tcPr>
            <w:tcW w:type="dxa" w:w="4819"/>
            <w:shd w:fill="061C3F"/>
            <w:tcMar>
              <w:top w:w="140" w:type="dxa"/>
              <w:start w:w="160" w:type="dxa"/>
              <w:bottom w:w="140" w:type="dxa"/>
              <w:end w:w="160" w:type="dxa"/>
            </w:tcMar>
          </w:tcPr>
          <w:p>
            <w:pPr>
              <w:jc w:val="center"/>
            </w:pPr>
            <w:r>
              <w:rPr>
                <w:b/>
                <w:color w:val="FFFFFF"/>
                <w:sz w:val="16"/>
              </w:rPr>
              <w:t>À utiliser</w:t>
            </w:r>
          </w:p>
        </w:tc>
        <w:tc>
          <w:tcPr>
            <w:tcW w:type="dxa" w:w="4819"/>
            <w:shd w:fill="061C3F"/>
            <w:tcMar>
              <w:top w:w="140" w:type="dxa"/>
              <w:start w:w="160" w:type="dxa"/>
              <w:bottom w:w="140" w:type="dxa"/>
              <w:end w:w="160" w:type="dxa"/>
            </w:tcMar>
          </w:tcPr>
          <w:p>
            <w:pPr>
              <w:jc w:val="center"/>
            </w:pPr>
            <w:r>
              <w:rPr>
                <w:b/>
                <w:color w:val="FFFFFF"/>
                <w:sz w:val="16"/>
              </w:rPr>
              <w:t>À éviter</w:t>
            </w:r>
          </w:p>
        </w:tc>
      </w:tr>
      <w:tr>
        <w:tc>
          <w:tcPr>
            <w:tcW w:type="dxa" w:w="4819"/>
            <w:tcMar>
              <w:top w:w="140" w:type="dxa"/>
              <w:start w:w="160" w:type="dxa"/>
              <w:bottom w:w="140" w:type="dxa"/>
              <w:end w:w="160" w:type="dxa"/>
            </w:tcMar>
            <w:vAlign w:val="center"/>
          </w:tcPr>
          <w:p>
            <w:pPr>
              <w:jc w:val="center"/>
            </w:pPr>
            <w:r>
              <w:rPr>
                <w:sz w:val="17"/>
              </w:rPr>
              <w:t>« Programme global indicatif de 30 Md€ »</w:t>
            </w:r>
          </w:p>
        </w:tc>
        <w:tc>
          <w:tcPr>
            <w:tcW w:type="dxa" w:w="4819"/>
            <w:tcMar>
              <w:top w:w="140" w:type="dxa"/>
              <w:start w:w="160" w:type="dxa"/>
              <w:bottom w:w="140" w:type="dxa"/>
              <w:end w:w="160" w:type="dxa"/>
            </w:tcMar>
            <w:vAlign w:val="center"/>
          </w:tcPr>
          <w:p>
            <w:pPr>
              <w:jc w:val="left"/>
            </w:pPr>
            <w:r>
              <w:rPr>
                <w:sz w:val="17"/>
              </w:rPr>
              <w:t>« Levée ouverte de 30 Md€ »</w:t>
            </w:r>
          </w:p>
        </w:tc>
      </w:tr>
      <w:tr>
        <w:tc>
          <w:tcPr>
            <w:tcW w:type="dxa" w:w="4819"/>
            <w:tcMar>
              <w:top w:w="140" w:type="dxa"/>
              <w:start w:w="160" w:type="dxa"/>
              <w:bottom w:w="140" w:type="dxa"/>
              <w:end w:w="160" w:type="dxa"/>
            </w:tcMar>
            <w:vAlign w:val="center"/>
          </w:tcPr>
          <w:p>
            <w:pPr>
              <w:jc w:val="center"/>
            </w:pPr>
            <w:r>
              <w:rPr>
                <w:sz w:val="17"/>
              </w:rPr>
              <w:t>« Manifestation d’intérêt non engageante »</w:t>
            </w:r>
          </w:p>
        </w:tc>
        <w:tc>
          <w:tcPr>
            <w:tcW w:type="dxa" w:w="4819"/>
            <w:tcMar>
              <w:top w:w="140" w:type="dxa"/>
              <w:start w:w="160" w:type="dxa"/>
              <w:bottom w:w="140" w:type="dxa"/>
              <w:end w:w="160" w:type="dxa"/>
            </w:tcMar>
            <w:vAlign w:val="center"/>
          </w:tcPr>
          <w:p>
            <w:pPr>
              <w:jc w:val="left"/>
            </w:pPr>
            <w:r>
              <w:rPr>
                <w:sz w:val="17"/>
              </w:rPr>
              <w:t>« Investissez maintenant »</w:t>
            </w:r>
          </w:p>
        </w:tc>
      </w:tr>
      <w:tr>
        <w:tc>
          <w:tcPr>
            <w:tcW w:type="dxa" w:w="4819"/>
            <w:tcMar>
              <w:top w:w="140" w:type="dxa"/>
              <w:start w:w="160" w:type="dxa"/>
              <w:bottom w:w="140" w:type="dxa"/>
              <w:end w:w="160" w:type="dxa"/>
            </w:tcMar>
            <w:vAlign w:val="center"/>
          </w:tcPr>
          <w:p>
            <w:pPr>
              <w:jc w:val="center"/>
            </w:pPr>
            <w:r>
              <w:rPr>
                <w:sz w:val="17"/>
              </w:rPr>
              <w:t>« Hypothèses à confirmer par les études »</w:t>
            </w:r>
          </w:p>
        </w:tc>
        <w:tc>
          <w:tcPr>
            <w:tcW w:type="dxa" w:w="4819"/>
            <w:tcMar>
              <w:top w:w="140" w:type="dxa"/>
              <w:start w:w="160" w:type="dxa"/>
              <w:bottom w:w="140" w:type="dxa"/>
              <w:end w:w="160" w:type="dxa"/>
            </w:tcMar>
            <w:vAlign w:val="center"/>
          </w:tcPr>
          <w:p>
            <w:pPr>
              <w:jc w:val="left"/>
            </w:pPr>
            <w:r>
              <w:rPr>
                <w:sz w:val="17"/>
              </w:rPr>
              <w:t>« Rendement garanti »</w:t>
            </w:r>
          </w:p>
        </w:tc>
      </w:tr>
      <w:tr>
        <w:tc>
          <w:tcPr>
            <w:tcW w:type="dxa" w:w="4819"/>
            <w:tcMar>
              <w:top w:w="140" w:type="dxa"/>
              <w:start w:w="160" w:type="dxa"/>
              <w:bottom w:w="140" w:type="dxa"/>
              <w:end w:w="160" w:type="dxa"/>
            </w:tcMar>
            <w:vAlign w:val="center"/>
          </w:tcPr>
          <w:p>
            <w:pPr>
              <w:jc w:val="center"/>
            </w:pPr>
            <w:r>
              <w:rPr>
                <w:sz w:val="17"/>
              </w:rPr>
              <w:t>« Fonds propres privés : 3 Md€ dans le scénario central »</w:t>
            </w:r>
          </w:p>
        </w:tc>
        <w:tc>
          <w:tcPr>
            <w:tcW w:type="dxa" w:w="4819"/>
            <w:tcMar>
              <w:top w:w="140" w:type="dxa"/>
              <w:start w:w="160" w:type="dxa"/>
              <w:bottom w:w="140" w:type="dxa"/>
              <w:end w:w="160" w:type="dxa"/>
            </w:tcMar>
            <w:vAlign w:val="center"/>
          </w:tcPr>
          <w:p>
            <w:pPr>
              <w:jc w:val="left"/>
            </w:pPr>
            <w:r>
              <w:rPr>
                <w:sz w:val="17"/>
              </w:rPr>
              <w:t>« Nous recherchons 30 Md€ auprès d’investisseurs privés »</w:t>
            </w:r>
          </w:p>
        </w:tc>
      </w:tr>
      <w:tr>
        <w:tc>
          <w:tcPr>
            <w:tcW w:type="dxa" w:w="4819"/>
            <w:tcMar>
              <w:top w:w="140" w:type="dxa"/>
              <w:start w:w="160" w:type="dxa"/>
              <w:bottom w:w="140" w:type="dxa"/>
              <w:end w:w="160" w:type="dxa"/>
            </w:tcMar>
            <w:vAlign w:val="center"/>
          </w:tcPr>
          <w:p>
            <w:pPr>
              <w:jc w:val="center"/>
            </w:pPr>
            <w:r>
              <w:rPr>
                <w:sz w:val="17"/>
              </w:rPr>
              <w:t>« Aucune souscription ouverte »</w:t>
            </w:r>
          </w:p>
        </w:tc>
        <w:tc>
          <w:tcPr>
            <w:tcW w:type="dxa" w:w="4819"/>
            <w:tcMar>
              <w:top w:w="140" w:type="dxa"/>
              <w:start w:w="160" w:type="dxa"/>
              <w:bottom w:w="140" w:type="dxa"/>
              <w:end w:w="160" w:type="dxa"/>
            </w:tcMar>
            <w:vAlign w:val="center"/>
          </w:tcPr>
          <w:p>
            <w:pPr>
              <w:jc w:val="left"/>
            </w:pPr>
            <w:r>
              <w:rPr>
                <w:sz w:val="17"/>
              </w:rPr>
              <w:t>IBAN, paiement, compteur de collecte ou réservation de titres</w:t>
            </w:r>
          </w:p>
        </w:tc>
      </w:tr>
    </w:tbl>
    <w:p>
      <w:pPr>
        <w:pStyle w:val="Heading1"/>
      </w:pPr>
      <w:r>
        <w:t>Processus investisseur conforme à mettre en place</w:t>
      </w:r>
    </w:p>
    <w:p>
      <w:pPr>
        <w:pStyle w:val="ListBullet"/>
      </w:pPr>
      <w:r>
        <w:t>1. Page publique factuelle et formulaire de contact sans souscription.</w:t>
      </w:r>
    </w:p>
    <w:p>
      <w:pPr>
        <w:pStyle w:val="ListBullet"/>
      </w:pPr>
      <w:r>
        <w:t>2. Qualification du partenaire et vérification de son identité / capacité.</w:t>
      </w:r>
    </w:p>
    <w:p>
      <w:pPr>
        <w:pStyle w:val="ListBullet"/>
      </w:pPr>
      <w:r>
        <w:t>3. Accord de confidentialité proportionné.</w:t>
      </w:r>
    </w:p>
    <w:p>
      <w:pPr>
        <w:pStyle w:val="ListBullet"/>
      </w:pPr>
      <w:r>
        <w:t>4. Data room versionnée et journal des accès.</w:t>
      </w:r>
    </w:p>
    <w:p>
      <w:pPr>
        <w:pStyle w:val="ListBullet"/>
      </w:pPr>
      <w:r>
        <w:t>5. Term sheet non engageante préparée par conseil.</w:t>
      </w:r>
    </w:p>
    <w:p>
      <w:pPr>
        <w:pStyle w:val="ListBullet"/>
      </w:pPr>
      <w:r>
        <w:t>6. Diligences juridique, financière, technique, ESG et anticorruption.</w:t>
      </w:r>
    </w:p>
    <w:p>
      <w:pPr>
        <w:pStyle w:val="ListBullet"/>
      </w:pPr>
      <w:r>
        <w:t>7. Décisions sociales, autorisations et documentation réglementaire.</w:t>
      </w:r>
    </w:p>
    <w:p>
      <w:pPr>
        <w:pStyle w:val="ListBullet"/>
      </w:pPr>
      <w:r>
        <w:t>8. Closing via banque, notaire ou prestataires habilités selon l’opération.</w:t>
      </w:r>
    </w:p>
    <w:p>
      <w:pPr>
        <w:pStyle w:val="ListBullet"/>
      </w:pPr>
      <w:r>
        <w:t>9. Reporting périodique, gouvernance et contrôle de l’utilisation des fonds.</w:t>
      </w:r>
    </w:p>
    <w:p>
      <w:r>
        <w:br w:type="page"/>
      </w:r>
    </w:p>
    <w:p>
      <w:pPr>
        <w:pStyle w:val="Heading1"/>
      </w:pPr>
      <w:r>
        <w:t>Feuille de route sur 18 mois</w:t>
      </w:r>
    </w:p>
    <w:tbl>
      <w:tblPr>
        <w:tblStyle w:val="TableGrid"/>
        <w:tblW w:type="auto" w:w="0"/>
        <w:jc w:val="center"/>
        <w:tblLook w:firstColumn="1" w:firstRow="1" w:lastColumn="0" w:lastRow="0" w:noHBand="0" w:noVBand="1" w:val="04A0"/>
        <w:tblBorders>
          <w:top w:val="single" w:sz="6" w:color="D8E0E3"/>
          <w:left w:val="single" w:sz="6" w:color="D8E0E3"/>
          <w:bottom w:val="single" w:sz="6" w:color="D8E0E3"/>
          <w:right w:val="single" w:sz="6" w:color="D8E0E3"/>
          <w:insideH w:val="single" w:sz="6" w:color="D8E0E3"/>
          <w:insideV w:val="single" w:sz="6" w:color="D8E0E3"/>
        </w:tblBorders>
      </w:tblPr>
      <w:tblGrid>
        <w:gridCol w:w="3213"/>
        <w:gridCol w:w="3213"/>
        <w:gridCol w:w="3213"/>
      </w:tblGrid>
      <w:tr>
        <w:tc>
          <w:tcPr>
            <w:tcW w:type="dxa" w:w="3213"/>
            <w:shd w:fill="061C3F"/>
            <w:tcMar>
              <w:top w:w="140" w:type="dxa"/>
              <w:start w:w="160" w:type="dxa"/>
              <w:bottom w:w="140" w:type="dxa"/>
              <w:end w:w="160" w:type="dxa"/>
            </w:tcMar>
          </w:tcPr>
          <w:p>
            <w:pPr>
              <w:jc w:val="center"/>
            </w:pPr>
            <w:r>
              <w:rPr>
                <w:b/>
                <w:color w:val="FFFFFF"/>
                <w:sz w:val="16"/>
              </w:rPr>
              <w:t>Échéance</w:t>
            </w:r>
          </w:p>
        </w:tc>
        <w:tc>
          <w:tcPr>
            <w:tcW w:type="dxa" w:w="3213"/>
            <w:shd w:fill="061C3F"/>
            <w:tcMar>
              <w:top w:w="140" w:type="dxa"/>
              <w:start w:w="160" w:type="dxa"/>
              <w:bottom w:w="140" w:type="dxa"/>
              <w:end w:w="160" w:type="dxa"/>
            </w:tcMar>
          </w:tcPr>
          <w:p>
            <w:pPr>
              <w:jc w:val="center"/>
            </w:pPr>
            <w:r>
              <w:rPr>
                <w:b/>
                <w:color w:val="FFFFFF"/>
                <w:sz w:val="16"/>
              </w:rPr>
              <w:t>Actions</w:t>
            </w:r>
          </w:p>
        </w:tc>
        <w:tc>
          <w:tcPr>
            <w:tcW w:type="dxa" w:w="3213"/>
            <w:shd w:fill="061C3F"/>
            <w:tcMar>
              <w:top w:w="140" w:type="dxa"/>
              <w:start w:w="160" w:type="dxa"/>
              <w:bottom w:w="140" w:type="dxa"/>
              <w:end w:w="160" w:type="dxa"/>
            </w:tcMar>
          </w:tcPr>
          <w:p>
            <w:pPr>
              <w:jc w:val="center"/>
            </w:pPr>
            <w:r>
              <w:rPr>
                <w:b/>
                <w:color w:val="FFFFFF"/>
                <w:sz w:val="16"/>
              </w:rPr>
              <w:t>Critère de sortie</w:t>
            </w:r>
          </w:p>
        </w:tc>
      </w:tr>
      <w:tr>
        <w:tc>
          <w:tcPr>
            <w:tcW w:type="dxa" w:w="3213"/>
            <w:tcMar>
              <w:top w:w="140" w:type="dxa"/>
              <w:start w:w="160" w:type="dxa"/>
              <w:bottom w:w="140" w:type="dxa"/>
              <w:end w:w="160" w:type="dxa"/>
            </w:tcMar>
            <w:vAlign w:val="center"/>
          </w:tcPr>
          <w:p>
            <w:pPr>
              <w:jc w:val="center"/>
            </w:pPr>
            <w:r>
              <w:rPr>
                <w:sz w:val="17"/>
              </w:rPr>
              <w:t>0–30 jours</w:t>
            </w:r>
          </w:p>
        </w:tc>
        <w:tc>
          <w:tcPr>
            <w:tcW w:type="dxa" w:w="3213"/>
            <w:tcMar>
              <w:top w:w="140" w:type="dxa"/>
              <w:start w:w="160" w:type="dxa"/>
              <w:bottom w:w="140" w:type="dxa"/>
              <w:end w:w="160" w:type="dxa"/>
            </w:tcMar>
            <w:vAlign w:val="center"/>
          </w:tcPr>
          <w:p>
            <w:pPr>
              <w:jc w:val="left"/>
            </w:pPr>
            <w:r>
              <w:rPr>
                <w:sz w:val="17"/>
              </w:rPr>
              <w:t>Immatriculation SAS, pacte, compte, assurances, audit du site et de la communication.</w:t>
            </w:r>
          </w:p>
        </w:tc>
        <w:tc>
          <w:tcPr>
            <w:tcW w:type="dxa" w:w="3213"/>
            <w:tcMar>
              <w:top w:w="140" w:type="dxa"/>
              <w:start w:w="160" w:type="dxa"/>
              <w:bottom w:w="140" w:type="dxa"/>
              <w:end w:w="160" w:type="dxa"/>
            </w:tcMar>
            <w:vAlign w:val="center"/>
          </w:tcPr>
          <w:p>
            <w:pPr>
              <w:jc w:val="left"/>
            </w:pPr>
            <w:r>
              <w:rPr>
                <w:sz w:val="17"/>
              </w:rPr>
              <w:t>MTG peut contracter en son nom et dispose d’un dispositif de validation.</w:t>
            </w:r>
          </w:p>
        </w:tc>
      </w:tr>
      <w:tr>
        <w:tc>
          <w:tcPr>
            <w:tcW w:type="dxa" w:w="3213"/>
            <w:tcMar>
              <w:top w:w="140" w:type="dxa"/>
              <w:start w:w="160" w:type="dxa"/>
              <w:bottom w:w="140" w:type="dxa"/>
              <w:end w:w="160" w:type="dxa"/>
            </w:tcMar>
            <w:vAlign w:val="center"/>
          </w:tcPr>
          <w:p>
            <w:pPr>
              <w:jc w:val="center"/>
            </w:pPr>
            <w:r>
              <w:rPr>
                <w:sz w:val="17"/>
              </w:rPr>
              <w:t>1–3 mois</w:t>
            </w:r>
          </w:p>
        </w:tc>
        <w:tc>
          <w:tcPr>
            <w:tcW w:type="dxa" w:w="3213"/>
            <w:tcMar>
              <w:top w:w="140" w:type="dxa"/>
              <w:start w:w="160" w:type="dxa"/>
              <w:bottom w:w="140" w:type="dxa"/>
              <w:end w:w="160" w:type="dxa"/>
            </w:tcMar>
            <w:vAlign w:val="center"/>
          </w:tcPr>
          <w:p>
            <w:pPr>
              <w:jc w:val="left"/>
            </w:pPr>
            <w:r>
              <w:rPr>
                <w:sz w:val="17"/>
              </w:rPr>
              <w:t>Mandats avocat/expert-comptable, note d’opportunité, registre de risques, data room niveau 1.</w:t>
            </w:r>
          </w:p>
        </w:tc>
        <w:tc>
          <w:tcPr>
            <w:tcW w:type="dxa" w:w="3213"/>
            <w:tcMar>
              <w:top w:w="140" w:type="dxa"/>
              <w:start w:w="160" w:type="dxa"/>
              <w:bottom w:w="140" w:type="dxa"/>
              <w:end w:w="160" w:type="dxa"/>
            </w:tcMar>
            <w:vAlign w:val="center"/>
          </w:tcPr>
          <w:p>
            <w:pPr>
              <w:jc w:val="left"/>
            </w:pPr>
            <w:r>
              <w:rPr>
                <w:sz w:val="17"/>
              </w:rPr>
              <w:t>Dossier corporate et hypothèses traçables.</w:t>
            </w:r>
          </w:p>
        </w:tc>
      </w:tr>
      <w:tr>
        <w:tc>
          <w:tcPr>
            <w:tcW w:type="dxa" w:w="3213"/>
            <w:tcMar>
              <w:top w:w="140" w:type="dxa"/>
              <w:start w:w="160" w:type="dxa"/>
              <w:bottom w:w="140" w:type="dxa"/>
              <w:end w:w="160" w:type="dxa"/>
            </w:tcMar>
            <w:vAlign w:val="center"/>
          </w:tcPr>
          <w:p>
            <w:pPr>
              <w:jc w:val="center"/>
            </w:pPr>
            <w:r>
              <w:rPr>
                <w:sz w:val="17"/>
              </w:rPr>
              <w:t>3–6 mois</w:t>
            </w:r>
          </w:p>
        </w:tc>
        <w:tc>
          <w:tcPr>
            <w:tcW w:type="dxa" w:w="3213"/>
            <w:tcMar>
              <w:top w:w="140" w:type="dxa"/>
              <w:start w:w="160" w:type="dxa"/>
              <w:bottom w:w="140" w:type="dxa"/>
              <w:end w:w="160" w:type="dxa"/>
            </w:tcMar>
            <w:vAlign w:val="center"/>
          </w:tcPr>
          <w:p>
            <w:pPr>
              <w:jc w:val="left"/>
            </w:pPr>
            <w:r>
              <w:rPr>
                <w:sz w:val="17"/>
              </w:rPr>
              <w:t>Sélection de 1 à 2 lots pilotes, cahiers des charges et études de préfaisabilité.</w:t>
            </w:r>
          </w:p>
        </w:tc>
        <w:tc>
          <w:tcPr>
            <w:tcW w:type="dxa" w:w="3213"/>
            <w:tcMar>
              <w:top w:w="140" w:type="dxa"/>
              <w:start w:w="160" w:type="dxa"/>
              <w:bottom w:w="140" w:type="dxa"/>
              <w:end w:w="160" w:type="dxa"/>
            </w:tcMar>
            <w:vAlign w:val="center"/>
          </w:tcPr>
          <w:p>
            <w:pPr>
              <w:jc w:val="left"/>
            </w:pPr>
            <w:r>
              <w:rPr>
                <w:sz w:val="17"/>
              </w:rPr>
              <w:t>Périmètre, coût, calendrier et risques comparables.</w:t>
            </w:r>
          </w:p>
        </w:tc>
      </w:tr>
      <w:tr>
        <w:tc>
          <w:tcPr>
            <w:tcW w:type="dxa" w:w="3213"/>
            <w:tcMar>
              <w:top w:w="140" w:type="dxa"/>
              <w:start w:w="160" w:type="dxa"/>
              <w:bottom w:w="140" w:type="dxa"/>
              <w:end w:w="160" w:type="dxa"/>
            </w:tcMar>
            <w:vAlign w:val="center"/>
          </w:tcPr>
          <w:p>
            <w:pPr>
              <w:jc w:val="center"/>
            </w:pPr>
            <w:r>
              <w:rPr>
                <w:sz w:val="17"/>
              </w:rPr>
              <w:t>6–9 mois</w:t>
            </w:r>
          </w:p>
        </w:tc>
        <w:tc>
          <w:tcPr>
            <w:tcW w:type="dxa" w:w="3213"/>
            <w:tcMar>
              <w:top w:w="140" w:type="dxa"/>
              <w:start w:w="160" w:type="dxa"/>
              <w:bottom w:w="140" w:type="dxa"/>
              <w:end w:w="160" w:type="dxa"/>
            </w:tcMar>
            <w:vAlign w:val="center"/>
          </w:tcPr>
          <w:p>
            <w:pPr>
              <w:jc w:val="left"/>
            </w:pPr>
            <w:r>
              <w:rPr>
                <w:sz w:val="17"/>
              </w:rPr>
              <w:t>Dialogue institutionnel, partenaires techniques, modèle financier par lot.</w:t>
            </w:r>
          </w:p>
        </w:tc>
        <w:tc>
          <w:tcPr>
            <w:tcW w:type="dxa" w:w="3213"/>
            <w:tcMar>
              <w:top w:w="140" w:type="dxa"/>
              <w:start w:w="160" w:type="dxa"/>
              <w:bottom w:w="140" w:type="dxa"/>
              <w:end w:w="160" w:type="dxa"/>
            </w:tcMar>
            <w:vAlign w:val="center"/>
          </w:tcPr>
          <w:p>
            <w:pPr>
              <w:jc w:val="left"/>
            </w:pPr>
            <w:r>
              <w:rPr>
                <w:sz w:val="17"/>
              </w:rPr>
              <w:t>Scénario finançable et gouvernance de projet.</w:t>
            </w:r>
          </w:p>
        </w:tc>
      </w:tr>
      <w:tr>
        <w:tc>
          <w:tcPr>
            <w:tcW w:type="dxa" w:w="3213"/>
            <w:tcMar>
              <w:top w:w="140" w:type="dxa"/>
              <w:start w:w="160" w:type="dxa"/>
              <w:bottom w:w="140" w:type="dxa"/>
              <w:end w:w="160" w:type="dxa"/>
            </w:tcMar>
            <w:vAlign w:val="center"/>
          </w:tcPr>
          <w:p>
            <w:pPr>
              <w:jc w:val="center"/>
            </w:pPr>
            <w:r>
              <w:rPr>
                <w:sz w:val="17"/>
              </w:rPr>
              <w:t>9–12 mois</w:t>
            </w:r>
          </w:p>
        </w:tc>
        <w:tc>
          <w:tcPr>
            <w:tcW w:type="dxa" w:w="3213"/>
            <w:tcMar>
              <w:top w:w="140" w:type="dxa"/>
              <w:start w:w="160" w:type="dxa"/>
              <w:bottom w:w="140" w:type="dxa"/>
              <w:end w:w="160" w:type="dxa"/>
            </w:tcMar>
            <w:vAlign w:val="center"/>
          </w:tcPr>
          <w:p>
            <w:pPr>
              <w:jc w:val="left"/>
            </w:pPr>
            <w:r>
              <w:rPr>
                <w:sz w:val="17"/>
              </w:rPr>
              <w:t>Consultation de financeurs, term sheets indicatives, choix du véhicule.</w:t>
            </w:r>
          </w:p>
        </w:tc>
        <w:tc>
          <w:tcPr>
            <w:tcW w:type="dxa" w:w="3213"/>
            <w:tcMar>
              <w:top w:w="140" w:type="dxa"/>
              <w:start w:w="160" w:type="dxa"/>
              <w:bottom w:w="140" w:type="dxa"/>
              <w:end w:w="160" w:type="dxa"/>
            </w:tcMar>
            <w:vAlign w:val="center"/>
          </w:tcPr>
          <w:p>
            <w:pPr>
              <w:jc w:val="left"/>
            </w:pPr>
            <w:r>
              <w:rPr>
                <w:sz w:val="17"/>
              </w:rPr>
              <w:t>Intérêt qualifié sans engagement prématuré.</w:t>
            </w:r>
          </w:p>
        </w:tc>
      </w:tr>
      <w:tr>
        <w:tc>
          <w:tcPr>
            <w:tcW w:type="dxa" w:w="3213"/>
            <w:tcMar>
              <w:top w:w="140" w:type="dxa"/>
              <w:start w:w="160" w:type="dxa"/>
              <w:bottom w:w="140" w:type="dxa"/>
              <w:end w:w="160" w:type="dxa"/>
            </w:tcMar>
            <w:vAlign w:val="center"/>
          </w:tcPr>
          <w:p>
            <w:pPr>
              <w:jc w:val="center"/>
            </w:pPr>
            <w:r>
              <w:rPr>
                <w:sz w:val="17"/>
              </w:rPr>
              <w:t>12–18 mois</w:t>
            </w:r>
          </w:p>
        </w:tc>
        <w:tc>
          <w:tcPr>
            <w:tcW w:type="dxa" w:w="3213"/>
            <w:tcMar>
              <w:top w:w="140" w:type="dxa"/>
              <w:start w:w="160" w:type="dxa"/>
              <w:bottom w:w="140" w:type="dxa"/>
              <w:end w:w="160" w:type="dxa"/>
            </w:tcMar>
            <w:vAlign w:val="center"/>
          </w:tcPr>
          <w:p>
            <w:pPr>
              <w:jc w:val="left"/>
            </w:pPr>
            <w:r>
              <w:rPr>
                <w:sz w:val="17"/>
              </w:rPr>
              <w:t>Diligences approfondies, autorisations, contrats et décision d’investissement pilote.</w:t>
            </w:r>
          </w:p>
        </w:tc>
        <w:tc>
          <w:tcPr>
            <w:tcW w:type="dxa" w:w="3213"/>
            <w:tcMar>
              <w:top w:w="140" w:type="dxa"/>
              <w:start w:w="160" w:type="dxa"/>
              <w:bottom w:w="140" w:type="dxa"/>
              <w:end w:w="160" w:type="dxa"/>
            </w:tcMar>
            <w:vAlign w:val="center"/>
          </w:tcPr>
          <w:p>
            <w:pPr>
              <w:jc w:val="left"/>
            </w:pPr>
            <w:r>
              <w:rPr>
                <w:sz w:val="17"/>
              </w:rPr>
              <w:t>Premier closing possible si toutes conditions sont réunies.</w:t>
            </w:r>
          </w:p>
        </w:tc>
      </w:tr>
    </w:tbl>
    <w:p>
      <w:pPr>
        <w:pStyle w:val="Heading1"/>
      </w:pPr>
      <w:r>
        <w:t>Gouvernance financière minimale</w:t>
      </w:r>
    </w:p>
    <w:p>
      <w:pPr>
        <w:pStyle w:val="ListBullet"/>
      </w:pPr>
      <w:r>
        <w:t>Conseil ou comité stratégique avec procès-verbaux.</w:t>
      </w:r>
    </w:p>
    <w:p>
      <w:pPr>
        <w:pStyle w:val="ListBullet"/>
      </w:pPr>
      <w:r>
        <w:t>Comité d’investissement distinct des équipes de promotion.</w:t>
      </w:r>
    </w:p>
    <w:p>
      <w:pPr>
        <w:pStyle w:val="ListBullet"/>
      </w:pPr>
      <w:r>
        <w:t>Double validation des dépenses et séparation des comptes par projet.</w:t>
      </w:r>
    </w:p>
    <w:p>
      <w:pPr>
        <w:pStyle w:val="ListBullet"/>
      </w:pPr>
      <w:r>
        <w:t>Budget annuel, plan de trésorerie 13 semaines et reporting mensuel.</w:t>
      </w:r>
    </w:p>
    <w:p>
      <w:pPr>
        <w:pStyle w:val="ListBullet"/>
      </w:pPr>
      <w:r>
        <w:t>Politique de conflits d’intérêts et transactions avec parties liées.</w:t>
      </w:r>
    </w:p>
    <w:p>
      <w:pPr>
        <w:pStyle w:val="ListBullet"/>
      </w:pPr>
      <w:r>
        <w:t>Audit externe à partir d’un seuil adapté aux attentes des financeurs.</w:t>
      </w:r>
    </w:p>
    <w:p>
      <w:pPr>
        <w:pStyle w:val="ListBullet"/>
      </w:pPr>
      <w:r>
        <w:t>Aucun fonds d’investisseur reçu sur un compte personnel.</w:t>
      </w:r>
    </w:p>
    <w:p>
      <w:pPr>
        <w:pStyle w:val="Heading1"/>
      </w:pPr>
      <w:r>
        <w:t>Diligences à commander</w:t>
      </w:r>
    </w:p>
    <w:tbl>
      <w:tblPr>
        <w:tblStyle w:val="TableGrid"/>
        <w:tblW w:type="auto" w:w="0"/>
        <w:jc w:val="center"/>
        <w:tblLook w:firstColumn="1" w:firstRow="1" w:lastColumn="0" w:lastRow="0" w:noHBand="0" w:noVBand="1" w:val="04A0"/>
        <w:tblBorders>
          <w:top w:val="single" w:sz="6" w:color="D8E0E3"/>
          <w:left w:val="single" w:sz="6" w:color="D8E0E3"/>
          <w:bottom w:val="single" w:sz="6" w:color="D8E0E3"/>
          <w:right w:val="single" w:sz="6" w:color="D8E0E3"/>
          <w:insideH w:val="single" w:sz="6" w:color="D8E0E3"/>
          <w:insideV w:val="single" w:sz="6" w:color="D8E0E3"/>
        </w:tblBorders>
      </w:tblPr>
      <w:tblGrid>
        <w:gridCol w:w="3213"/>
        <w:gridCol w:w="3213"/>
        <w:gridCol w:w="3213"/>
      </w:tblGrid>
      <w:tr>
        <w:tc>
          <w:tcPr>
            <w:tcW w:type="dxa" w:w="3213"/>
            <w:shd w:fill="061C3F"/>
            <w:tcMar>
              <w:top w:w="140" w:type="dxa"/>
              <w:start w:w="160" w:type="dxa"/>
              <w:bottom w:w="140" w:type="dxa"/>
              <w:end w:w="160" w:type="dxa"/>
            </w:tcMar>
          </w:tcPr>
          <w:p>
            <w:pPr>
              <w:jc w:val="center"/>
            </w:pPr>
            <w:r>
              <w:rPr>
                <w:b/>
                <w:color w:val="FFFFFF"/>
                <w:sz w:val="16"/>
              </w:rPr>
              <w:t>Domaine</w:t>
            </w:r>
          </w:p>
        </w:tc>
        <w:tc>
          <w:tcPr>
            <w:tcW w:type="dxa" w:w="3213"/>
            <w:shd w:fill="061C3F"/>
            <w:tcMar>
              <w:top w:w="140" w:type="dxa"/>
              <w:start w:w="160" w:type="dxa"/>
              <w:bottom w:w="140" w:type="dxa"/>
              <w:end w:w="160" w:type="dxa"/>
            </w:tcMar>
          </w:tcPr>
          <w:p>
            <w:pPr>
              <w:jc w:val="center"/>
            </w:pPr>
            <w:r>
              <w:rPr>
                <w:b/>
                <w:color w:val="FFFFFF"/>
                <w:sz w:val="16"/>
              </w:rPr>
              <w:t>Travail attendu</w:t>
            </w:r>
          </w:p>
        </w:tc>
        <w:tc>
          <w:tcPr>
            <w:tcW w:type="dxa" w:w="3213"/>
            <w:shd w:fill="061C3F"/>
            <w:tcMar>
              <w:top w:w="140" w:type="dxa"/>
              <w:start w:w="160" w:type="dxa"/>
              <w:bottom w:w="140" w:type="dxa"/>
              <w:end w:w="160" w:type="dxa"/>
            </w:tcMar>
          </w:tcPr>
          <w:p>
            <w:pPr>
              <w:jc w:val="center"/>
            </w:pPr>
            <w:r>
              <w:rPr>
                <w:b/>
                <w:color w:val="FFFFFF"/>
                <w:sz w:val="16"/>
              </w:rPr>
              <w:t>Professionnel</w:t>
            </w:r>
          </w:p>
        </w:tc>
      </w:tr>
      <w:tr>
        <w:tc>
          <w:tcPr>
            <w:tcW w:type="dxa" w:w="3213"/>
            <w:tcMar>
              <w:top w:w="140" w:type="dxa"/>
              <w:start w:w="160" w:type="dxa"/>
              <w:bottom w:w="140" w:type="dxa"/>
              <w:end w:w="160" w:type="dxa"/>
            </w:tcMar>
            <w:vAlign w:val="center"/>
          </w:tcPr>
          <w:p>
            <w:pPr>
              <w:jc w:val="center"/>
            </w:pPr>
            <w:r>
              <w:rPr>
                <w:sz w:val="17"/>
              </w:rPr>
              <w:t>Corporate</w:t>
            </w:r>
          </w:p>
        </w:tc>
        <w:tc>
          <w:tcPr>
            <w:tcW w:type="dxa" w:w="3213"/>
            <w:tcMar>
              <w:top w:w="140" w:type="dxa"/>
              <w:start w:w="160" w:type="dxa"/>
              <w:bottom w:w="140" w:type="dxa"/>
              <w:end w:w="160" w:type="dxa"/>
            </w:tcMar>
            <w:vAlign w:val="center"/>
          </w:tcPr>
          <w:p>
            <w:pPr>
              <w:jc w:val="left"/>
            </w:pPr>
            <w:r>
              <w:rPr>
                <w:sz w:val="17"/>
              </w:rPr>
              <w:t>Statuts, pacte, pouvoirs, propriété intellectuelle</w:t>
            </w:r>
          </w:p>
        </w:tc>
        <w:tc>
          <w:tcPr>
            <w:tcW w:type="dxa" w:w="3213"/>
            <w:tcMar>
              <w:top w:w="140" w:type="dxa"/>
              <w:start w:w="160" w:type="dxa"/>
              <w:bottom w:w="140" w:type="dxa"/>
              <w:end w:w="160" w:type="dxa"/>
            </w:tcMar>
            <w:vAlign w:val="center"/>
          </w:tcPr>
          <w:p>
            <w:pPr>
              <w:jc w:val="left"/>
            </w:pPr>
            <w:r>
              <w:rPr>
                <w:sz w:val="17"/>
              </w:rPr>
              <w:t>Avocat droit des sociétés</w:t>
            </w:r>
          </w:p>
        </w:tc>
      </w:tr>
      <w:tr>
        <w:tc>
          <w:tcPr>
            <w:tcW w:type="dxa" w:w="3213"/>
            <w:tcMar>
              <w:top w:w="140" w:type="dxa"/>
              <w:start w:w="160" w:type="dxa"/>
              <w:bottom w:w="140" w:type="dxa"/>
              <w:end w:w="160" w:type="dxa"/>
            </w:tcMar>
            <w:vAlign w:val="center"/>
          </w:tcPr>
          <w:p>
            <w:pPr>
              <w:jc w:val="center"/>
            </w:pPr>
            <w:r>
              <w:rPr>
                <w:sz w:val="17"/>
              </w:rPr>
              <w:t>Financier</w:t>
            </w:r>
          </w:p>
        </w:tc>
        <w:tc>
          <w:tcPr>
            <w:tcW w:type="dxa" w:w="3213"/>
            <w:tcMar>
              <w:top w:w="140" w:type="dxa"/>
              <w:start w:w="160" w:type="dxa"/>
              <w:bottom w:w="140" w:type="dxa"/>
              <w:end w:w="160" w:type="dxa"/>
            </w:tcMar>
            <w:vAlign w:val="center"/>
          </w:tcPr>
          <w:p>
            <w:pPr>
              <w:jc w:val="left"/>
            </w:pPr>
            <w:r>
              <w:rPr>
                <w:sz w:val="17"/>
              </w:rPr>
              <w:t>Modèle auditable, sensibilités, CAPEX/OPEX, fiscalité</w:t>
            </w:r>
          </w:p>
        </w:tc>
        <w:tc>
          <w:tcPr>
            <w:tcW w:type="dxa" w:w="3213"/>
            <w:tcMar>
              <w:top w:w="140" w:type="dxa"/>
              <w:start w:w="160" w:type="dxa"/>
              <w:bottom w:w="140" w:type="dxa"/>
              <w:end w:w="160" w:type="dxa"/>
            </w:tcMar>
            <w:vAlign w:val="center"/>
          </w:tcPr>
          <w:p>
            <w:pPr>
              <w:jc w:val="left"/>
            </w:pPr>
            <w:r>
              <w:rPr>
                <w:sz w:val="17"/>
              </w:rPr>
              <w:t>Expert-comptable / conseil financier</w:t>
            </w:r>
          </w:p>
        </w:tc>
      </w:tr>
      <w:tr>
        <w:tc>
          <w:tcPr>
            <w:tcW w:type="dxa" w:w="3213"/>
            <w:tcMar>
              <w:top w:w="140" w:type="dxa"/>
              <w:start w:w="160" w:type="dxa"/>
              <w:bottom w:w="140" w:type="dxa"/>
              <w:end w:w="160" w:type="dxa"/>
            </w:tcMar>
            <w:vAlign w:val="center"/>
          </w:tcPr>
          <w:p>
            <w:pPr>
              <w:jc w:val="center"/>
            </w:pPr>
            <w:r>
              <w:rPr>
                <w:sz w:val="17"/>
              </w:rPr>
              <w:t>Réglementaire</w:t>
            </w:r>
          </w:p>
        </w:tc>
        <w:tc>
          <w:tcPr>
            <w:tcW w:type="dxa" w:w="3213"/>
            <w:tcMar>
              <w:top w:w="140" w:type="dxa"/>
              <w:start w:w="160" w:type="dxa"/>
              <w:bottom w:w="140" w:type="dxa"/>
              <w:end w:w="160" w:type="dxa"/>
            </w:tcMar>
            <w:vAlign w:val="center"/>
          </w:tcPr>
          <w:p>
            <w:pPr>
              <w:jc w:val="left"/>
            </w:pPr>
            <w:r>
              <w:rPr>
                <w:sz w:val="17"/>
              </w:rPr>
              <w:t>Prospectus, placement, PSFP, communications</w:t>
            </w:r>
          </w:p>
        </w:tc>
        <w:tc>
          <w:tcPr>
            <w:tcW w:type="dxa" w:w="3213"/>
            <w:tcMar>
              <w:top w:w="140" w:type="dxa"/>
              <w:start w:w="160" w:type="dxa"/>
              <w:bottom w:w="140" w:type="dxa"/>
              <w:end w:w="160" w:type="dxa"/>
            </w:tcMar>
            <w:vAlign w:val="center"/>
          </w:tcPr>
          <w:p>
            <w:pPr>
              <w:jc w:val="left"/>
            </w:pPr>
            <w:r>
              <w:rPr>
                <w:sz w:val="17"/>
              </w:rPr>
              <w:t>Avocat marchés de capitaux / PSI</w:t>
            </w:r>
          </w:p>
        </w:tc>
      </w:tr>
      <w:tr>
        <w:tc>
          <w:tcPr>
            <w:tcW w:type="dxa" w:w="3213"/>
            <w:tcMar>
              <w:top w:w="140" w:type="dxa"/>
              <w:start w:w="160" w:type="dxa"/>
              <w:bottom w:w="140" w:type="dxa"/>
              <w:end w:w="160" w:type="dxa"/>
            </w:tcMar>
            <w:vAlign w:val="center"/>
          </w:tcPr>
          <w:p>
            <w:pPr>
              <w:jc w:val="center"/>
            </w:pPr>
            <w:r>
              <w:rPr>
                <w:sz w:val="17"/>
              </w:rPr>
              <w:t>Public</w:t>
            </w:r>
          </w:p>
        </w:tc>
        <w:tc>
          <w:tcPr>
            <w:tcW w:type="dxa" w:w="3213"/>
            <w:tcMar>
              <w:top w:w="140" w:type="dxa"/>
              <w:start w:w="160" w:type="dxa"/>
              <w:bottom w:w="140" w:type="dxa"/>
              <w:end w:w="160" w:type="dxa"/>
            </w:tcMar>
            <w:vAlign w:val="center"/>
          </w:tcPr>
          <w:p>
            <w:pPr>
              <w:jc w:val="left"/>
            </w:pPr>
            <w:r>
              <w:rPr>
                <w:sz w:val="17"/>
              </w:rPr>
              <w:t>Commande publique, concessions, compétences</w:t>
            </w:r>
          </w:p>
        </w:tc>
        <w:tc>
          <w:tcPr>
            <w:tcW w:type="dxa" w:w="3213"/>
            <w:tcMar>
              <w:top w:w="140" w:type="dxa"/>
              <w:start w:w="160" w:type="dxa"/>
              <w:bottom w:w="140" w:type="dxa"/>
              <w:end w:w="160" w:type="dxa"/>
            </w:tcMar>
            <w:vAlign w:val="center"/>
          </w:tcPr>
          <w:p>
            <w:pPr>
              <w:jc w:val="left"/>
            </w:pPr>
            <w:r>
              <w:rPr>
                <w:sz w:val="17"/>
              </w:rPr>
              <w:t>Avocat droit public</w:t>
            </w:r>
          </w:p>
        </w:tc>
      </w:tr>
      <w:tr>
        <w:tc>
          <w:tcPr>
            <w:tcW w:type="dxa" w:w="3213"/>
            <w:tcMar>
              <w:top w:w="140" w:type="dxa"/>
              <w:start w:w="160" w:type="dxa"/>
              <w:bottom w:w="140" w:type="dxa"/>
              <w:end w:w="160" w:type="dxa"/>
            </w:tcMar>
            <w:vAlign w:val="center"/>
          </w:tcPr>
          <w:p>
            <w:pPr>
              <w:jc w:val="center"/>
            </w:pPr>
            <w:r>
              <w:rPr>
                <w:sz w:val="17"/>
              </w:rPr>
              <w:t>Technique</w:t>
            </w:r>
          </w:p>
        </w:tc>
        <w:tc>
          <w:tcPr>
            <w:tcW w:type="dxa" w:w="3213"/>
            <w:tcMar>
              <w:top w:w="140" w:type="dxa"/>
              <w:start w:w="160" w:type="dxa"/>
              <w:bottom w:w="140" w:type="dxa"/>
              <w:end w:w="160" w:type="dxa"/>
            </w:tcMar>
            <w:vAlign w:val="center"/>
          </w:tcPr>
          <w:p>
            <w:pPr>
              <w:jc w:val="left"/>
            </w:pPr>
            <w:r>
              <w:rPr>
                <w:sz w:val="17"/>
              </w:rPr>
              <w:t>Trafic, tracés, génie civil, exploitation</w:t>
            </w:r>
          </w:p>
        </w:tc>
        <w:tc>
          <w:tcPr>
            <w:tcW w:type="dxa" w:w="3213"/>
            <w:tcMar>
              <w:top w:w="140" w:type="dxa"/>
              <w:start w:w="160" w:type="dxa"/>
              <w:bottom w:w="140" w:type="dxa"/>
              <w:end w:w="160" w:type="dxa"/>
            </w:tcMar>
            <w:vAlign w:val="center"/>
          </w:tcPr>
          <w:p>
            <w:pPr>
              <w:jc w:val="left"/>
            </w:pPr>
            <w:r>
              <w:rPr>
                <w:sz w:val="17"/>
              </w:rPr>
              <w:t>Ingénieriste indépendant</w:t>
            </w:r>
          </w:p>
        </w:tc>
      </w:tr>
      <w:tr>
        <w:tc>
          <w:tcPr>
            <w:tcW w:type="dxa" w:w="3213"/>
            <w:tcMar>
              <w:top w:w="140" w:type="dxa"/>
              <w:start w:w="160" w:type="dxa"/>
              <w:bottom w:w="140" w:type="dxa"/>
              <w:end w:w="160" w:type="dxa"/>
            </w:tcMar>
            <w:vAlign w:val="center"/>
          </w:tcPr>
          <w:p>
            <w:pPr>
              <w:jc w:val="center"/>
            </w:pPr>
            <w:r>
              <w:rPr>
                <w:sz w:val="17"/>
              </w:rPr>
              <w:t>ESG</w:t>
            </w:r>
          </w:p>
        </w:tc>
        <w:tc>
          <w:tcPr>
            <w:tcW w:type="dxa" w:w="3213"/>
            <w:tcMar>
              <w:top w:w="140" w:type="dxa"/>
              <w:start w:w="160" w:type="dxa"/>
              <w:bottom w:w="140" w:type="dxa"/>
              <w:end w:w="160" w:type="dxa"/>
            </w:tcMar>
            <w:vAlign w:val="center"/>
          </w:tcPr>
          <w:p>
            <w:pPr>
              <w:jc w:val="left"/>
            </w:pPr>
            <w:r>
              <w:rPr>
                <w:sz w:val="17"/>
              </w:rPr>
              <w:t>Environnement, social, climat, concertation</w:t>
            </w:r>
          </w:p>
        </w:tc>
        <w:tc>
          <w:tcPr>
            <w:tcW w:type="dxa" w:w="3213"/>
            <w:tcMar>
              <w:top w:w="140" w:type="dxa"/>
              <w:start w:w="160" w:type="dxa"/>
              <w:bottom w:w="140" w:type="dxa"/>
              <w:end w:w="160" w:type="dxa"/>
            </w:tcMar>
            <w:vAlign w:val="center"/>
          </w:tcPr>
          <w:p>
            <w:pPr>
              <w:jc w:val="left"/>
            </w:pPr>
            <w:r>
              <w:rPr>
                <w:sz w:val="17"/>
              </w:rPr>
              <w:t>Bureau d’études habilité</w:t>
            </w:r>
          </w:p>
        </w:tc>
      </w:tr>
    </w:tbl>
    <w:p>
      <w:r>
        <w:br w:type="page"/>
      </w:r>
    </w:p>
    <w:p>
      <w:pPr>
        <w:pStyle w:val="Heading1"/>
      </w:pPr>
      <w:r>
        <w:t>Plan de financement du programme</w:t>
      </w:r>
    </w:p>
    <w:p>
      <w:r>
        <w:t>Le scénario central doit être traité comme une enveloppe cible cumulative. Le séquençage réel suivra les lots ayant franchi les portes G0 à G6. Les 3,0 Md€ de fonds propres privés ne seront pas recherchés en une seule opération : ils pourront être appelés progressivement dans des véhicules dédiés, uniquement après définition des risques et des droits des investisseurs.</w:t>
      </w:r>
    </w:p>
    <w:tbl>
      <w:tblPr>
        <w:tblW w:type="auto" w:w="0"/>
        <w:jc w:val="center"/>
        <w:tblLayout w:type="autofit"/>
        <w:tblLook w:firstColumn="1" w:firstRow="1" w:lastColumn="0" w:lastRow="0" w:noHBand="0" w:noVBand="1" w:val="04A0"/>
      </w:tblPr>
      <w:tblGrid>
        <w:gridCol w:w="2409"/>
        <w:gridCol w:w="2409"/>
        <w:gridCol w:w="2409"/>
        <w:gridCol w:w="2409"/>
      </w:tblGrid>
      <w:tr>
        <w:tc>
          <w:tcPr>
            <w:tcW w:type="dxa" w:w="2409"/>
            <w:shd w:fill="061C3F"/>
            <w:tcMar>
              <w:top w:w="220" w:type="dxa"/>
              <w:start w:w="140" w:type="dxa"/>
              <w:bottom w:w="220" w:type="dxa"/>
              <w:end w:w="140" w:type="dxa"/>
            </w:tcMar>
            <w:vAlign w:val="center"/>
          </w:tcPr>
          <w:p>
            <w:pPr>
              <w:jc w:val="center"/>
            </w:pPr>
            <w:r>
              <w:rPr>
                <w:b/>
                <w:color w:val="FFFFFF"/>
                <w:sz w:val="40"/>
              </w:rPr>
              <w:t>51,7 %</w:t>
            </w:r>
          </w:p>
          <w:p>
            <w:pPr>
              <w:jc w:val="center"/>
            </w:pPr>
            <w:r>
              <w:rPr>
                <w:b/>
                <w:color w:val="FFFFFF"/>
                <w:sz w:val="16"/>
              </w:rPr>
              <w:t>Public</w:t>
            </w:r>
          </w:p>
          <w:p>
            <w:pPr>
              <w:jc w:val="center"/>
            </w:pPr>
            <w:r>
              <w:rPr>
                <w:color w:val="D7E5EA"/>
                <w:sz w:val="14"/>
              </w:rPr>
              <w:t>15,5 Md€</w:t>
            </w:r>
          </w:p>
        </w:tc>
        <w:tc>
          <w:tcPr>
            <w:tcW w:type="dxa" w:w="2409"/>
            <w:shd w:fill="08A8BF"/>
            <w:tcMar>
              <w:top w:w="220" w:type="dxa"/>
              <w:start w:w="140" w:type="dxa"/>
              <w:bottom w:w="220" w:type="dxa"/>
              <w:end w:w="140" w:type="dxa"/>
            </w:tcMar>
            <w:vAlign w:val="center"/>
          </w:tcPr>
          <w:p>
            <w:pPr>
              <w:jc w:val="center"/>
            </w:pPr>
            <w:r>
              <w:rPr>
                <w:b/>
                <w:color w:val="FFFFFF"/>
                <w:sz w:val="40"/>
              </w:rPr>
              <w:t>33,0 %</w:t>
            </w:r>
          </w:p>
          <w:p>
            <w:pPr>
              <w:jc w:val="center"/>
            </w:pPr>
            <w:r>
              <w:rPr>
                <w:b/>
                <w:color w:val="FFFFFF"/>
                <w:sz w:val="16"/>
              </w:rPr>
              <w:t>Dette</w:t>
            </w:r>
          </w:p>
          <w:p>
            <w:pPr>
              <w:jc w:val="center"/>
            </w:pPr>
            <w:r>
              <w:rPr>
                <w:color w:val="D7E5EA"/>
                <w:sz w:val="14"/>
              </w:rPr>
              <w:t>9,9 Md€</w:t>
            </w:r>
          </w:p>
        </w:tc>
        <w:tc>
          <w:tcPr>
            <w:tcW w:type="dxa" w:w="2409"/>
            <w:shd w:fill="061C3F"/>
            <w:tcMar>
              <w:top w:w="220" w:type="dxa"/>
              <w:start w:w="140" w:type="dxa"/>
              <w:bottom w:w="220" w:type="dxa"/>
              <w:end w:w="140" w:type="dxa"/>
            </w:tcMar>
            <w:vAlign w:val="center"/>
          </w:tcPr>
          <w:p>
            <w:pPr>
              <w:jc w:val="center"/>
            </w:pPr>
            <w:r>
              <w:rPr>
                <w:b/>
                <w:color w:val="FFFFFF"/>
                <w:sz w:val="40"/>
              </w:rPr>
              <w:t>10,0 %</w:t>
            </w:r>
          </w:p>
          <w:p>
            <w:pPr>
              <w:jc w:val="center"/>
            </w:pPr>
            <w:r>
              <w:rPr>
                <w:b/>
                <w:color w:val="FFFFFF"/>
                <w:sz w:val="16"/>
              </w:rPr>
              <w:t>Fonds propres</w:t>
            </w:r>
          </w:p>
          <w:p>
            <w:pPr>
              <w:jc w:val="center"/>
            </w:pPr>
            <w:r>
              <w:rPr>
                <w:color w:val="D7E5EA"/>
                <w:sz w:val="14"/>
              </w:rPr>
              <w:t>3,0 Md€</w:t>
            </w:r>
          </w:p>
        </w:tc>
        <w:tc>
          <w:tcPr>
            <w:tcW w:type="dxa" w:w="2409"/>
            <w:shd w:fill="08A8BF"/>
            <w:tcMar>
              <w:top w:w="220" w:type="dxa"/>
              <w:start w:w="140" w:type="dxa"/>
              <w:bottom w:w="220" w:type="dxa"/>
              <w:end w:w="140" w:type="dxa"/>
            </w:tcMar>
            <w:vAlign w:val="center"/>
          </w:tcPr>
          <w:p>
            <w:pPr>
              <w:jc w:val="center"/>
            </w:pPr>
            <w:r>
              <w:rPr>
                <w:b/>
                <w:color w:val="FFFFFF"/>
                <w:sz w:val="40"/>
              </w:rPr>
              <w:t>5,3 %</w:t>
            </w:r>
          </w:p>
          <w:p>
            <w:pPr>
              <w:jc w:val="center"/>
            </w:pPr>
            <w:r>
              <w:rPr>
                <w:b/>
                <w:color w:val="FFFFFF"/>
                <w:sz w:val="16"/>
              </w:rPr>
              <w:t>Recettes / foncier</w:t>
            </w:r>
          </w:p>
          <w:p>
            <w:pPr>
              <w:jc w:val="center"/>
            </w:pPr>
            <w:r>
              <w:rPr>
                <w:color w:val="D7E5EA"/>
                <w:sz w:val="14"/>
              </w:rPr>
              <w:t>1,6 Md€</w:t>
            </w:r>
          </w:p>
        </w:tc>
      </w:tr>
    </w:tbl>
    <w:p>
      <w:pPr>
        <w:pStyle w:val="Heading1"/>
      </w:pPr>
      <w:r>
        <w:t>Décisions avant publication d’une offre</w:t>
      </w:r>
    </w:p>
    <w:p>
      <w:pPr>
        <w:pStyle w:val="ListBullet"/>
      </w:pPr>
      <w:r>
        <w:t>Quel émetteur et quel actif financé ?</w:t>
      </w:r>
    </w:p>
    <w:p>
      <w:pPr>
        <w:pStyle w:val="ListBullet"/>
      </w:pPr>
      <w:r>
        <w:t>Quel montant exact, usage des fonds et calendrier ?</w:t>
      </w:r>
    </w:p>
    <w:p>
      <w:pPr>
        <w:pStyle w:val="ListBullet"/>
      </w:pPr>
      <w:r>
        <w:t>Quels droits attachés aux titres et quelle gouvernance ?</w:t>
      </w:r>
    </w:p>
    <w:p>
      <w:pPr>
        <w:pStyle w:val="ListBullet"/>
      </w:pPr>
      <w:r>
        <w:t>Quels revenus, paiements publics, garanties ou sûretés ?</w:t>
      </w:r>
    </w:p>
    <w:p>
      <w:pPr>
        <w:pStyle w:val="ListBullet"/>
      </w:pPr>
      <w:r>
        <w:t>Quel risque de perte, d’illiquidité, de retard et de dilution ?</w:t>
      </w:r>
    </w:p>
    <w:p>
      <w:pPr>
        <w:pStyle w:val="ListBullet"/>
      </w:pPr>
      <w:r>
        <w:t>Quel régime réglementaire, quelle documentation et quel distributeur ?</w:t>
      </w:r>
    </w:p>
    <w:p>
      <w:pPr>
        <w:pStyle w:val="ListBullet"/>
      </w:pPr>
      <w:r>
        <w:t>Quelle procédure KYC/LCB-FT et quel compte de réception sécurisé ?</w:t>
      </w:r>
    </w:p>
    <w:p>
      <w:pPr>
        <w:pStyle w:val="ListBullet"/>
      </w:pPr>
      <w:r>
        <w:t>Quel reporting et quelle stratégie de sortie ?</w:t>
      </w:r>
    </w:p>
    <w:p>
      <w:pPr>
        <w:pStyle w:val="Heading1"/>
      </w:pPr>
      <w:r>
        <w:t>Conclusion opérationnelle</w:t>
      </w:r>
    </w:p>
    <w:p>
      <w:r>
        <w:t>La prochaine levée réaliste est une levée de maturation, destinée à financer l’immatriculation, les conseils, les études et la structuration des premiers lots. Son montant ne doit être fixé qu’après un budget détaillé. Le programme global de 30 Md€ demeure la vision d’investissement cumulée 2027–2055 ; la campagne publique actuelle doit solliciter des manifestations d’intérêt, non des virements.</w:t>
      </w:r>
    </w:p>
    <w:p>
      <w:pPr>
        <w:pStyle w:val="Heading2"/>
      </w:pPr>
      <w:r>
        <w:t>Références officielles à valider avec les conseils</w:t>
      </w:r>
    </w:p>
    <w:p>
      <w:pPr>
        <w:pStyle w:val="ListBullet"/>
      </w:pPr>
      <w:r>
        <w:t>AMF — La réglementation applicable aux prospectus : https://www.amf-france.org/fr/actualites-publications/dossiers-thematiques/prospectus</w:t>
      </w:r>
    </w:p>
    <w:p>
      <w:pPr>
        <w:pStyle w:val="ListBullet"/>
      </w:pPr>
      <w:r>
        <w:t>AMF — Exercer une activité de PSFP : https://www.amf-france.org/fr/espace-professionnels/fintech/mes-relations-avec-lamf/exercer-une-activite-de-prestataired-services-de-financement-participatif-psfp-en-france</w:t>
      </w:r>
    </w:p>
    <w:p>
      <w:pPr>
        <w:pStyle w:val="ListBullet"/>
      </w:pPr>
      <w:r>
        <w:t>ACPR — Prestataire de services de financement participatif : https://acpr.banque-france.fr/fr/professionnels/lacpr-vous-accompagne/banque/creer-ma-societe/mes-procedures/prestataire-de-services-de-financement-participatif</w:t>
      </w:r>
    </w:p>
    <w:p>
      <w:pPr>
        <w:pStyle w:val="ListBullet"/>
      </w:pPr>
      <w:r>
        <w:t>Règlement (UE) 2020/1503 : https://eur-lex.europa.eu/eli/reg/2020/1503/oj/fra</w:t>
      </w:r>
    </w:p>
    <w:sectPr w:rsidR="00FC693F" w:rsidRPr="0006063C" w:rsidSect="00034616">
      <w:headerReference w:type="default" r:id="rId9"/>
      <w:footerReference w:type="default" r:id="rId10"/>
      <w:pgSz w:w="11906" w:h="16838"/>
      <w:pgMar w:top="1020"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Projet en structuration • Septembre 2026 • DOCUMENT DE TRAVAIL — À VALIDER PAR CONSEILS HABILITÉS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Caps"/>
    </w:pPr>
    <w:r>
      <w:t>MTG  |  MAHORA TRANSIT GROUP</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Aptos" w:hAnsi="Aptos"/>
      <w:color w:val="061C3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40"/>
      <w:outlineLvl w:val="0"/>
    </w:pPr>
    <w:rPr>
      <w:rFonts w:asciiTheme="majorHAnsi" w:eastAsiaTheme="majorEastAsia" w:hAnsiTheme="majorHAnsi" w:cstheme="majorBidi" w:ascii="Aptos Display" w:hAnsi="Aptos Display"/>
      <w:b/>
      <w:bCs/>
      <w:color w:val="061C3F"/>
      <w:sz w:val="46"/>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Theme="majorHAnsi" w:eastAsiaTheme="majorEastAsia" w:hAnsiTheme="majorHAnsi" w:cstheme="majorBidi" w:ascii="Aptos Display" w:hAnsi="Aptos Display"/>
      <w:b/>
      <w:bCs/>
      <w:color w:val="08A8BF"/>
      <w:sz w:val="30"/>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Theme="majorHAnsi" w:eastAsiaTheme="majorEastAsia" w:hAnsiTheme="majorHAnsi" w:cstheme="majorBidi" w:ascii="Aptos Display" w:hAnsi="Aptos Display"/>
      <w:b/>
      <w:bCs/>
      <w:color w:val="061C3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40" w:line="240" w:lineRule="auto" w:before="240"/>
      <w:contextualSpacing/>
    </w:pPr>
    <w:rPr>
      <w:rFonts w:asciiTheme="majorHAnsi" w:eastAsiaTheme="majorEastAsia" w:hAnsiTheme="majorHAnsi" w:cstheme="majorBidi" w:ascii="Aptos Display" w:hAnsi="Aptos Display"/>
      <w:b/>
      <w:color w:val="FFFFFF"/>
      <w:spacing w:val="5"/>
      <w:kern w:val="28"/>
      <w:sz w:val="6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Caps">
    <w:name w:val="Small Caps"/>
    <w:rPr>
      <w:rFonts w:ascii="Aptos" w:hAnsi="Aptos"/>
      <w:b/>
      <w:color w:val="08A8BF"/>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MTG Plan Juridique Financier 2026</dc:title>
  <dc:subject/>
  <dc:creator>Mahora Transit Group — équipe porteuse VELOU</dc:creator>
  <cp:keywords/>
  <dc:description>generated by python-docx</dc:description>
  <cp:lastModifiedBy/>
  <cp:revision>1</cp:revision>
  <dcterms:created xsi:type="dcterms:W3CDTF">2013-12-23T23:15:00Z</dcterms:created>
  <dcterms:modified xsi:type="dcterms:W3CDTF">2013-12-23T23:15:00Z</dcterms:modified>
  <cp:category/>
</cp:coreProperties>
</file>